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EF" w:rsidRPr="006A2656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  <w:r w:rsidRPr="006A2656">
        <w:rPr>
          <w:rStyle w:val="normaltextrun"/>
          <w:b/>
          <w:bCs/>
          <w:lang w:val="en-US"/>
        </w:rPr>
        <w:t xml:space="preserve">KLASA: </w:t>
      </w:r>
      <w:r w:rsidRPr="006A2656">
        <w:rPr>
          <w:b/>
        </w:rPr>
        <w:t>400-04/2</w:t>
      </w:r>
      <w:r w:rsidR="006A2656" w:rsidRPr="006A2656">
        <w:rPr>
          <w:b/>
        </w:rPr>
        <w:t>5</w:t>
      </w:r>
      <w:r w:rsidRPr="006A2656">
        <w:rPr>
          <w:b/>
        </w:rPr>
        <w:t>-01/</w:t>
      </w:r>
      <w:r w:rsidR="006A2656" w:rsidRPr="006A2656">
        <w:rPr>
          <w:b/>
        </w:rPr>
        <w:t>1</w:t>
      </w:r>
    </w:p>
    <w:p w:rsidR="003825EF" w:rsidRPr="006A2656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  <w:r w:rsidRPr="006A2656">
        <w:rPr>
          <w:rStyle w:val="normaltextrun"/>
          <w:b/>
          <w:bCs/>
          <w:lang w:val="en-US"/>
        </w:rPr>
        <w:t>URBROJ:</w:t>
      </w:r>
      <w:r w:rsidRPr="006A2656">
        <w:rPr>
          <w:b/>
        </w:rPr>
        <w:t xml:space="preserve"> 2170-1-68-01-2</w:t>
      </w:r>
      <w:r w:rsidR="006A2656" w:rsidRPr="006A2656">
        <w:rPr>
          <w:b/>
        </w:rPr>
        <w:t>5</w:t>
      </w:r>
      <w:r w:rsidRPr="006A2656">
        <w:rPr>
          <w:b/>
        </w:rPr>
        <w:t>-1</w:t>
      </w:r>
    </w:p>
    <w:p w:rsidR="003825EF" w:rsidRPr="007113E9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FF0000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lang w:val="en-US"/>
        </w:rPr>
      </w:pPr>
      <w:r>
        <w:rPr>
          <w:rStyle w:val="normaltextrun"/>
          <w:bCs/>
          <w:lang w:val="en-US"/>
        </w:rPr>
        <w:t xml:space="preserve">Rijeka, </w:t>
      </w:r>
      <w:r w:rsidR="00820A4A">
        <w:rPr>
          <w:rStyle w:val="normaltextrun"/>
          <w:bCs/>
          <w:lang w:val="en-US"/>
        </w:rPr>
        <w:t>29</w:t>
      </w:r>
      <w:r>
        <w:rPr>
          <w:rStyle w:val="normaltextrun"/>
          <w:bCs/>
          <w:lang w:val="en-US"/>
        </w:rPr>
        <w:t>.01.202</w:t>
      </w:r>
      <w:r w:rsidR="00820A4A">
        <w:rPr>
          <w:rStyle w:val="normaltextrun"/>
          <w:bCs/>
          <w:lang w:val="en-US"/>
        </w:rPr>
        <w:t>5</w:t>
      </w:r>
      <w:r>
        <w:rPr>
          <w:rStyle w:val="normaltextrun"/>
          <w:bCs/>
          <w:lang w:val="en-US"/>
        </w:rPr>
        <w:t xml:space="preserve">. </w:t>
      </w:r>
      <w:proofErr w:type="spellStart"/>
      <w:r>
        <w:rPr>
          <w:rStyle w:val="normaltextrun"/>
          <w:bCs/>
          <w:lang w:val="en-US"/>
        </w:rPr>
        <w:t>godine</w:t>
      </w:r>
      <w:proofErr w:type="spellEnd"/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  <w:proofErr w:type="spellStart"/>
      <w:r w:rsidRPr="005D344D">
        <w:rPr>
          <w:rStyle w:val="normaltextrun"/>
          <w:b/>
          <w:bCs/>
          <w:sz w:val="32"/>
          <w:szCs w:val="32"/>
          <w:lang w:val="en-US"/>
        </w:rPr>
        <w:t>Bilješke</w:t>
      </w:r>
      <w:proofErr w:type="spellEnd"/>
      <w:r w:rsidRPr="005D344D">
        <w:rPr>
          <w:rStyle w:val="normaltextrun"/>
          <w:b/>
          <w:bCs/>
          <w:sz w:val="32"/>
          <w:szCs w:val="32"/>
          <w:lang w:val="en-US"/>
        </w:rPr>
        <w:t xml:space="preserve"> </w:t>
      </w:r>
      <w:proofErr w:type="spellStart"/>
      <w:r w:rsidRPr="005D344D">
        <w:rPr>
          <w:rStyle w:val="normaltextrun"/>
          <w:b/>
          <w:bCs/>
          <w:sz w:val="32"/>
          <w:szCs w:val="32"/>
          <w:lang w:val="en-US"/>
        </w:rPr>
        <w:t>uz</w:t>
      </w:r>
      <w:proofErr w:type="spellEnd"/>
      <w:r w:rsidRPr="005D344D">
        <w:rPr>
          <w:rStyle w:val="normaltextrun"/>
          <w:b/>
          <w:bCs/>
          <w:sz w:val="32"/>
          <w:szCs w:val="32"/>
          <w:lang w:val="en-US"/>
        </w:rPr>
        <w:t xml:space="preserve"> </w:t>
      </w:r>
      <w:proofErr w:type="spellStart"/>
      <w:r w:rsidRPr="005D344D">
        <w:rPr>
          <w:rStyle w:val="normaltextrun"/>
          <w:b/>
          <w:bCs/>
          <w:sz w:val="32"/>
          <w:szCs w:val="32"/>
          <w:lang w:val="en-US"/>
        </w:rPr>
        <w:t>financijske</w:t>
      </w:r>
      <w:proofErr w:type="spellEnd"/>
      <w:r w:rsidRPr="005D344D">
        <w:rPr>
          <w:rStyle w:val="normaltextrun"/>
          <w:b/>
          <w:bCs/>
          <w:sz w:val="32"/>
          <w:szCs w:val="32"/>
          <w:lang w:val="en-US"/>
        </w:rPr>
        <w:t xml:space="preserve"> </w:t>
      </w:r>
      <w:proofErr w:type="spellStart"/>
      <w:r w:rsidRPr="005D344D">
        <w:rPr>
          <w:rStyle w:val="normaltextrun"/>
          <w:b/>
          <w:bCs/>
          <w:sz w:val="32"/>
          <w:szCs w:val="32"/>
          <w:lang w:val="en-US"/>
        </w:rPr>
        <w:t>izvještaje</w:t>
      </w:r>
      <w:proofErr w:type="spellEnd"/>
      <w:r w:rsidRPr="005D344D">
        <w:rPr>
          <w:rStyle w:val="normaltextrun"/>
          <w:b/>
          <w:bCs/>
          <w:sz w:val="32"/>
          <w:szCs w:val="32"/>
          <w:lang w:val="en-US"/>
        </w:rPr>
        <w:t xml:space="preserve"> za 202</w:t>
      </w:r>
      <w:r w:rsidR="00154E25">
        <w:rPr>
          <w:rStyle w:val="normaltextrun"/>
          <w:b/>
          <w:bCs/>
          <w:sz w:val="32"/>
          <w:szCs w:val="32"/>
          <w:lang w:val="en-US"/>
        </w:rPr>
        <w:t>4</w:t>
      </w:r>
      <w:r w:rsidRPr="005D344D">
        <w:rPr>
          <w:rStyle w:val="normaltextrun"/>
          <w:b/>
          <w:bCs/>
          <w:sz w:val="32"/>
          <w:szCs w:val="32"/>
          <w:lang w:val="en-US"/>
        </w:rPr>
        <w:t xml:space="preserve">. </w:t>
      </w:r>
      <w:proofErr w:type="spellStart"/>
      <w:r w:rsidR="00154E25">
        <w:rPr>
          <w:rStyle w:val="normaltextrun"/>
          <w:b/>
          <w:bCs/>
          <w:sz w:val="32"/>
          <w:szCs w:val="32"/>
          <w:lang w:val="en-US"/>
        </w:rPr>
        <w:t>g</w:t>
      </w:r>
      <w:r w:rsidRPr="005D344D">
        <w:rPr>
          <w:rStyle w:val="normaltextrun"/>
          <w:b/>
          <w:bCs/>
          <w:sz w:val="32"/>
          <w:szCs w:val="32"/>
          <w:lang w:val="en-US"/>
        </w:rPr>
        <w:t>odinu</w:t>
      </w:r>
      <w:proofErr w:type="spellEnd"/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813825" w:rsidRDefault="00813825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813825" w:rsidRDefault="00813825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  <w:r>
        <w:rPr>
          <w:rStyle w:val="normaltextrun"/>
          <w:b/>
          <w:bCs/>
          <w:sz w:val="32"/>
          <w:szCs w:val="32"/>
          <w:lang w:val="en-US"/>
        </w:rPr>
        <w:t>OSNOVNA ŠKOLA TURNIĆ</w:t>
      </w: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  <w:r>
        <w:rPr>
          <w:rStyle w:val="normaltextrun"/>
          <w:b/>
          <w:bCs/>
          <w:sz w:val="32"/>
          <w:szCs w:val="32"/>
          <w:lang w:val="en-US"/>
        </w:rPr>
        <w:t>FRANJE ČANDEKA 20</w:t>
      </w: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  <w:r>
        <w:rPr>
          <w:rStyle w:val="normaltextrun"/>
          <w:b/>
          <w:bCs/>
          <w:sz w:val="32"/>
          <w:szCs w:val="32"/>
          <w:lang w:val="en-US"/>
        </w:rPr>
        <w:t>51 000 RIJEKA</w:t>
      </w: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  <w:r>
        <w:rPr>
          <w:rStyle w:val="normaltextrun"/>
          <w:b/>
          <w:bCs/>
          <w:sz w:val="32"/>
          <w:szCs w:val="32"/>
          <w:lang w:val="en-US"/>
        </w:rPr>
        <w:t>OIB: 05694325239</w:t>
      </w: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i/>
        </w:rPr>
      </w:pPr>
    </w:p>
    <w:p w:rsidR="003825EF" w:rsidRPr="005D344D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</w:rPr>
      </w:pPr>
      <w:r>
        <w:rPr>
          <w:rStyle w:val="normaltextrun"/>
          <w:i/>
        </w:rPr>
        <w:t>Sastavila: Dijana Radoslav</w:t>
      </w:r>
    </w:p>
    <w:p w:rsidR="003825EF" w:rsidRDefault="003825EF" w:rsidP="00382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</w:rPr>
      </w:pPr>
      <w:r>
        <w:rPr>
          <w:rStyle w:val="normaltextrun"/>
          <w:i/>
        </w:rPr>
        <w:t xml:space="preserve">Ravnateljica: </w:t>
      </w:r>
      <w:r w:rsidR="00154E25">
        <w:rPr>
          <w:rStyle w:val="normaltextrun"/>
          <w:i/>
        </w:rPr>
        <w:t>Marija Illich Grbeša</w:t>
      </w:r>
    </w:p>
    <w:p w:rsidR="003825EF" w:rsidRDefault="003825EF" w:rsidP="00382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3041B">
        <w:rPr>
          <w:rFonts w:ascii="Times New Roman" w:hAnsi="Times New Roman"/>
          <w:i/>
          <w:sz w:val="24"/>
          <w:szCs w:val="24"/>
        </w:rPr>
        <w:t>Bilješke uz obrazac PR-RAS</w:t>
      </w:r>
    </w:p>
    <w:p w:rsidR="003825EF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Bilješke uz obrazac BILANCA</w:t>
      </w:r>
    </w:p>
    <w:p w:rsidR="003825EF" w:rsidRPr="0083041B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Bilješke uz obrazac RAS - funkcijski</w:t>
      </w:r>
      <w:r w:rsidRPr="0083041B">
        <w:rPr>
          <w:rFonts w:ascii="Times New Roman" w:hAnsi="Times New Roman"/>
          <w:i/>
          <w:sz w:val="24"/>
          <w:szCs w:val="24"/>
        </w:rPr>
        <w:t xml:space="preserve"> </w:t>
      </w:r>
    </w:p>
    <w:p w:rsidR="003825EF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3041B">
        <w:rPr>
          <w:rFonts w:ascii="Times New Roman" w:hAnsi="Times New Roman"/>
          <w:i/>
          <w:sz w:val="24"/>
          <w:szCs w:val="24"/>
        </w:rPr>
        <w:t>Bilješke uz obrazac  P-VRIO</w:t>
      </w:r>
    </w:p>
    <w:p w:rsidR="003825EF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3041B">
        <w:rPr>
          <w:rFonts w:ascii="Times New Roman" w:hAnsi="Times New Roman"/>
          <w:i/>
          <w:sz w:val="24"/>
          <w:szCs w:val="24"/>
        </w:rPr>
        <w:t xml:space="preserve">Bilješke uz obrazac  </w:t>
      </w:r>
      <w:r>
        <w:rPr>
          <w:rFonts w:ascii="Times New Roman" w:hAnsi="Times New Roman"/>
          <w:i/>
          <w:sz w:val="24"/>
          <w:szCs w:val="24"/>
        </w:rPr>
        <w:t>OBVEZE</w:t>
      </w:r>
    </w:p>
    <w:p w:rsidR="003825EF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3825EF" w:rsidRPr="0083041B" w:rsidRDefault="003825EF" w:rsidP="003825EF">
      <w:pPr>
        <w:pStyle w:val="Bezproreda"/>
        <w:framePr w:hSpace="187" w:wrap="around" w:vAnchor="page" w:hAnchor="page" w:x="1104" w:y="12646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3825EF" w:rsidRDefault="003825EF" w:rsidP="00382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i/>
        </w:rPr>
      </w:pPr>
    </w:p>
    <w:p w:rsidR="003825EF" w:rsidRDefault="003825EF" w:rsidP="003825EF">
      <w:pPr>
        <w:pStyle w:val="paragraph"/>
        <w:spacing w:before="0" w:beforeAutospacing="0" w:after="0" w:afterAutospacing="0"/>
        <w:textAlignment w:val="baseline"/>
        <w:rPr>
          <w:rStyle w:val="normaltextrun"/>
          <w:i/>
        </w:rPr>
      </w:pPr>
    </w:p>
    <w:p w:rsidR="003825EF" w:rsidRDefault="003825EF" w:rsidP="003825EF">
      <w:pPr>
        <w:jc w:val="center"/>
        <w:rPr>
          <w:b/>
          <w:sz w:val="32"/>
          <w:szCs w:val="32"/>
        </w:rPr>
      </w:pPr>
    </w:p>
    <w:p w:rsidR="00813825" w:rsidRDefault="00813825" w:rsidP="003825EF">
      <w:pPr>
        <w:jc w:val="center"/>
        <w:rPr>
          <w:b/>
          <w:sz w:val="32"/>
          <w:szCs w:val="32"/>
        </w:rPr>
      </w:pPr>
    </w:p>
    <w:p w:rsidR="00813825" w:rsidRDefault="00813825" w:rsidP="003825EF">
      <w:pPr>
        <w:jc w:val="center"/>
        <w:rPr>
          <w:b/>
          <w:sz w:val="32"/>
          <w:szCs w:val="32"/>
        </w:rPr>
      </w:pPr>
    </w:p>
    <w:p w:rsidR="003825EF" w:rsidRDefault="003825EF" w:rsidP="003825EF">
      <w:pPr>
        <w:jc w:val="center"/>
        <w:rPr>
          <w:b/>
          <w:sz w:val="32"/>
          <w:szCs w:val="32"/>
        </w:rPr>
      </w:pPr>
      <w:r w:rsidRPr="00DC4B2E">
        <w:rPr>
          <w:b/>
          <w:sz w:val="32"/>
          <w:szCs w:val="32"/>
        </w:rPr>
        <w:lastRenderedPageBreak/>
        <w:t>Bilješke uz obrazac PR-RAS</w:t>
      </w:r>
    </w:p>
    <w:p w:rsidR="003825EF" w:rsidRDefault="003825EF" w:rsidP="003825EF">
      <w:pPr>
        <w:jc w:val="center"/>
        <w:rPr>
          <w:b/>
          <w:sz w:val="32"/>
          <w:szCs w:val="32"/>
        </w:rPr>
      </w:pPr>
    </w:p>
    <w:p w:rsidR="003825EF" w:rsidRPr="00DC4B2E" w:rsidRDefault="003825EF" w:rsidP="003825EF">
      <w:pPr>
        <w:jc w:val="center"/>
        <w:rPr>
          <w:b/>
          <w:sz w:val="32"/>
          <w:szCs w:val="32"/>
        </w:rPr>
      </w:pPr>
    </w:p>
    <w:p w:rsidR="003825EF" w:rsidRPr="00937954" w:rsidRDefault="003825EF" w:rsidP="003825EF">
      <w:pPr>
        <w:spacing w:line="360" w:lineRule="auto"/>
        <w:jc w:val="both"/>
      </w:pPr>
      <w:r w:rsidRPr="00937954">
        <w:t>Ukupno ostvareni prihodi i primici za razdoblje 01. siječnja do 31. prosinca 202</w:t>
      </w:r>
      <w:r w:rsidR="00937954">
        <w:t>4</w:t>
      </w:r>
      <w:r w:rsidRPr="00937954">
        <w:t>. godine iznose 1.</w:t>
      </w:r>
      <w:r w:rsidR="00937954" w:rsidRPr="00937954">
        <w:t>631</w:t>
      </w:r>
      <w:r w:rsidRPr="00937954">
        <w:t>.</w:t>
      </w:r>
      <w:r w:rsidR="00937954" w:rsidRPr="00937954">
        <w:t>457</w:t>
      </w:r>
      <w:r w:rsidRPr="00937954">
        <w:t>,</w:t>
      </w:r>
      <w:r w:rsidR="00937954" w:rsidRPr="00937954">
        <w:t>14</w:t>
      </w:r>
      <w:r w:rsidRPr="00937954">
        <w:t xml:space="preserve"> eura, dok ukupno ostvareni rashodi i izdaci iznose 1.</w:t>
      </w:r>
      <w:r w:rsidR="00937954" w:rsidRPr="00937954">
        <w:t>641</w:t>
      </w:r>
      <w:r w:rsidRPr="00937954">
        <w:t>.</w:t>
      </w:r>
      <w:r w:rsidR="00937954" w:rsidRPr="00937954">
        <w:t>832</w:t>
      </w:r>
      <w:r w:rsidRPr="00937954">
        <w:t>,0</w:t>
      </w:r>
      <w:r w:rsidR="00937954" w:rsidRPr="00937954">
        <w:t>6</w:t>
      </w:r>
      <w:r w:rsidRPr="00937954">
        <w:t xml:space="preserve"> eura. </w:t>
      </w:r>
    </w:p>
    <w:p w:rsidR="003825EF" w:rsidRDefault="003825EF" w:rsidP="003825EF">
      <w:pPr>
        <w:spacing w:line="360" w:lineRule="auto"/>
        <w:jc w:val="both"/>
      </w:pPr>
      <w:r w:rsidRPr="00937954">
        <w:t>Manjak prihoda i primitaka koje treba pokr</w:t>
      </w:r>
      <w:r w:rsidR="00937954" w:rsidRPr="00937954">
        <w:t>iti u sljedećem razdoblju je 20</w:t>
      </w:r>
      <w:r w:rsidRPr="00937954">
        <w:t>.</w:t>
      </w:r>
      <w:r w:rsidR="00937954" w:rsidRPr="00937954">
        <w:t>090</w:t>
      </w:r>
      <w:r w:rsidRPr="00937954">
        <w:t>,0</w:t>
      </w:r>
      <w:r w:rsidR="00937954" w:rsidRPr="00937954">
        <w:t>7</w:t>
      </w:r>
      <w:r w:rsidRPr="00937954">
        <w:t xml:space="preserve"> eura iz 202</w:t>
      </w:r>
      <w:r w:rsidR="00937954" w:rsidRPr="00937954">
        <w:t>3</w:t>
      </w:r>
      <w:r w:rsidRPr="00937954">
        <w:t xml:space="preserve">. godine  i </w:t>
      </w:r>
      <w:r w:rsidR="00937954" w:rsidRPr="00937954">
        <w:t>10</w:t>
      </w:r>
      <w:r w:rsidRPr="00937954">
        <w:t>.</w:t>
      </w:r>
      <w:r w:rsidR="00937954" w:rsidRPr="00937954">
        <w:t>374</w:t>
      </w:r>
      <w:r w:rsidRPr="00937954">
        <w:t>,</w:t>
      </w:r>
      <w:r w:rsidR="00937954" w:rsidRPr="00937954">
        <w:t>92</w:t>
      </w:r>
      <w:r w:rsidRPr="00937954">
        <w:t xml:space="preserve"> eura </w:t>
      </w:r>
      <w:r w:rsidR="00D978F4">
        <w:t>i</w:t>
      </w:r>
      <w:r w:rsidRPr="00937954">
        <w:t>z 202</w:t>
      </w:r>
      <w:r w:rsidR="00937954" w:rsidRPr="00937954">
        <w:t>4</w:t>
      </w:r>
      <w:r w:rsidRPr="00937954">
        <w:t xml:space="preserve">.godine što ukupno tvori manjak prihoda poslovanja u iznosu </w:t>
      </w:r>
      <w:r w:rsidR="00937954" w:rsidRPr="00937954">
        <w:t>30</w:t>
      </w:r>
      <w:r w:rsidRPr="00937954">
        <w:t>.</w:t>
      </w:r>
      <w:r w:rsidR="00937954" w:rsidRPr="00937954">
        <w:t>464</w:t>
      </w:r>
      <w:r w:rsidRPr="00937954">
        <w:t>,</w:t>
      </w:r>
      <w:r w:rsidR="00937954" w:rsidRPr="00937954">
        <w:t>99</w:t>
      </w:r>
      <w:r w:rsidRPr="00937954">
        <w:t xml:space="preserve"> eura.</w:t>
      </w:r>
      <w:r w:rsidR="00D978F4">
        <w:t xml:space="preserve"> Napravljene su i korekcije prethodnih godina na teret prihoda poslovanja u ukupnom iznosu 518,85 eura pa je ukupni manjak prihoda poslovanja 30.983,84 eura.</w:t>
      </w:r>
      <w:bookmarkStart w:id="0" w:name="_GoBack"/>
      <w:bookmarkEnd w:id="0"/>
    </w:p>
    <w:p w:rsidR="00D978F4" w:rsidRPr="00937954" w:rsidRDefault="00D978F4" w:rsidP="003825EF">
      <w:pPr>
        <w:spacing w:line="360" w:lineRule="auto"/>
        <w:jc w:val="both"/>
      </w:pPr>
    </w:p>
    <w:p w:rsidR="003825EF" w:rsidRPr="00937954" w:rsidRDefault="003825EF" w:rsidP="003825EF">
      <w:pPr>
        <w:spacing w:line="360" w:lineRule="auto"/>
        <w:jc w:val="both"/>
      </w:pPr>
    </w:p>
    <w:p w:rsidR="003825EF" w:rsidRPr="00937954" w:rsidRDefault="003825EF" w:rsidP="003825EF">
      <w:pPr>
        <w:spacing w:line="360" w:lineRule="auto"/>
        <w:jc w:val="both"/>
      </w:pPr>
      <w:r w:rsidRPr="00937954">
        <w:t>Na dan 31.12.202</w:t>
      </w:r>
      <w:r w:rsidR="00937954" w:rsidRPr="00937954">
        <w:t>3</w:t>
      </w:r>
      <w:r w:rsidRPr="00937954">
        <w:t xml:space="preserve">. godine škola je imala evidentiran manjak prihoda u iznosu od </w:t>
      </w:r>
      <w:r w:rsidR="00937954" w:rsidRPr="00937954">
        <w:t>20</w:t>
      </w:r>
      <w:r w:rsidRPr="00937954">
        <w:t>.</w:t>
      </w:r>
      <w:r w:rsidR="00937954" w:rsidRPr="00937954">
        <w:t>090</w:t>
      </w:r>
      <w:r w:rsidRPr="00937954">
        <w:t>,0</w:t>
      </w:r>
      <w:r w:rsidR="00937954" w:rsidRPr="00937954">
        <w:t xml:space="preserve">7 </w:t>
      </w:r>
      <w:r w:rsidRPr="00937954">
        <w:t>eura,</w:t>
      </w:r>
      <w:r w:rsidR="00937954" w:rsidRPr="00937954">
        <w:t xml:space="preserve"> </w:t>
      </w:r>
      <w:r w:rsidRPr="00937954">
        <w:t>a  manjak je nastao  kao rezultat iznimnog porasta cijene energenata u 202</w:t>
      </w:r>
      <w:r w:rsidR="00937954" w:rsidRPr="00937954">
        <w:t>3</w:t>
      </w:r>
      <w:r w:rsidRPr="00937954">
        <w:t>.godi</w:t>
      </w:r>
      <w:r w:rsidR="00937954" w:rsidRPr="00937954">
        <w:t xml:space="preserve">ni te troškova </w:t>
      </w:r>
      <w:proofErr w:type="spellStart"/>
      <w:r w:rsidR="00937954" w:rsidRPr="00937954">
        <w:t>Erasmus</w:t>
      </w:r>
      <w:proofErr w:type="spellEnd"/>
      <w:r w:rsidR="00937954" w:rsidRPr="00937954">
        <w:t xml:space="preserve"> projekta.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Default="003825EF" w:rsidP="003825EF">
      <w:pPr>
        <w:spacing w:line="360" w:lineRule="auto"/>
        <w:jc w:val="both"/>
      </w:pPr>
      <w:r w:rsidRPr="00937954">
        <w:t>Manjak prihoda poslovanja u 202</w:t>
      </w:r>
      <w:r w:rsidR="00937954" w:rsidRPr="00937954">
        <w:t>4</w:t>
      </w:r>
      <w:r w:rsidRPr="00937954">
        <w:t xml:space="preserve">.godini nastao je kao posljedica rashoda nefinancijske imovine – knjiga u iznosu </w:t>
      </w:r>
      <w:r w:rsidR="00937954" w:rsidRPr="00937954">
        <w:t>1</w:t>
      </w:r>
      <w:r w:rsidRPr="00937954">
        <w:t>.</w:t>
      </w:r>
      <w:r w:rsidR="00937954" w:rsidRPr="00937954">
        <w:t>703</w:t>
      </w:r>
      <w:r w:rsidRPr="00937954">
        <w:t>,</w:t>
      </w:r>
      <w:r w:rsidR="00937954" w:rsidRPr="00937954">
        <w:t>13</w:t>
      </w:r>
      <w:r w:rsidRPr="00937954">
        <w:t xml:space="preserve"> eura te uredske opreme i namještaja u iznosu </w:t>
      </w:r>
      <w:r w:rsidR="00937954" w:rsidRPr="00937954">
        <w:t>2</w:t>
      </w:r>
      <w:r w:rsidRPr="00937954">
        <w:t>.</w:t>
      </w:r>
      <w:r w:rsidR="00937954" w:rsidRPr="00937954">
        <w:t>340</w:t>
      </w:r>
      <w:r w:rsidRPr="00937954">
        <w:t>,</w:t>
      </w:r>
      <w:r w:rsidR="00937954" w:rsidRPr="00937954">
        <w:t>13 eura što čini ukupni iznos od 4</w:t>
      </w:r>
      <w:r w:rsidRPr="00937954">
        <w:t>.</w:t>
      </w:r>
      <w:r w:rsidR="00937954" w:rsidRPr="00937954">
        <w:t>043</w:t>
      </w:r>
      <w:r w:rsidRPr="00937954">
        <w:t>,</w:t>
      </w:r>
      <w:r w:rsidR="00937954" w:rsidRPr="00937954">
        <w:t>26</w:t>
      </w:r>
      <w:r w:rsidRPr="00937954">
        <w:t xml:space="preserve"> eura</w:t>
      </w:r>
      <w:r w:rsidR="00937954" w:rsidRPr="00937954">
        <w:t>.</w:t>
      </w:r>
    </w:p>
    <w:p w:rsidR="00937954" w:rsidRPr="00937954" w:rsidRDefault="00937954" w:rsidP="003825EF">
      <w:pPr>
        <w:spacing w:line="360" w:lineRule="auto"/>
        <w:jc w:val="both"/>
      </w:pP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820A4A" w:rsidRDefault="003825EF" w:rsidP="003825EF">
      <w:pPr>
        <w:spacing w:line="360" w:lineRule="auto"/>
        <w:jc w:val="both"/>
      </w:pPr>
      <w:r w:rsidRPr="00820A4A">
        <w:t xml:space="preserve">U strukturi prihoda OŠ Turnić najznačajnije su tekuće pomoći od MZO-a, koje se koriste za financiranje plaća i ostalih materijalnih prava zaposlenika škole. Navedeni prihodi u cijelosti su utrošeni na isplate plaća, prijevoza, isplatu regresa, božićnica i ostalih naknada za 50-ak djelatnika, te naknada za nezapošljavanje invalida.  </w:t>
      </w:r>
    </w:p>
    <w:p w:rsidR="003825EF" w:rsidRPr="00820A4A" w:rsidRDefault="003825EF" w:rsidP="003825EF">
      <w:pPr>
        <w:spacing w:line="360" w:lineRule="auto"/>
        <w:jc w:val="both"/>
      </w:pPr>
      <w:r w:rsidRPr="00820A4A">
        <w:t>Prihodi od sufinanciranja cijene usluga su ove godine nešto veći u odnosu na prethodnu godinu zbog povećanja plaća djelatnika te zbog još je</w:t>
      </w:r>
      <w:r w:rsidR="00820A4A" w:rsidRPr="00820A4A">
        <w:t>dnog odjela produženog boravka koji postoji još od prošle školske godine te broji ukupno</w:t>
      </w:r>
      <w:r w:rsidRPr="00820A4A">
        <w:t xml:space="preserve"> 4 odjela.</w:t>
      </w:r>
    </w:p>
    <w:p w:rsidR="003825EF" w:rsidRPr="00820A4A" w:rsidRDefault="003825EF" w:rsidP="003825EF">
      <w:pPr>
        <w:spacing w:line="360" w:lineRule="auto"/>
        <w:jc w:val="both"/>
      </w:pPr>
      <w:r w:rsidRPr="00820A4A">
        <w:t xml:space="preserve"> Rashodi su najvećim dijelom utrošeni na namirnice i na plaće </w:t>
      </w:r>
      <w:r w:rsidR="00820A4A" w:rsidRPr="00820A4A">
        <w:t>učiteljica u produženom boravku,</w:t>
      </w:r>
    </w:p>
    <w:p w:rsidR="00820A4A" w:rsidRPr="00820A4A" w:rsidRDefault="00820A4A" w:rsidP="003825EF">
      <w:pPr>
        <w:spacing w:line="360" w:lineRule="auto"/>
        <w:jc w:val="both"/>
      </w:pPr>
      <w:r w:rsidRPr="00820A4A">
        <w:t>Koje su sa 01.03.2024. veće s obzirom na promjenu koeficijenta.</w:t>
      </w:r>
    </w:p>
    <w:p w:rsidR="003825EF" w:rsidRPr="00813825" w:rsidRDefault="003825EF" w:rsidP="003825EF">
      <w:pPr>
        <w:spacing w:before="240" w:line="360" w:lineRule="auto"/>
        <w:jc w:val="both"/>
      </w:pPr>
      <w:r w:rsidRPr="00813825">
        <w:t xml:space="preserve">Opći prihodi i primici nadležnog proračuna Grada Rijeke u iznosu od </w:t>
      </w:r>
      <w:r w:rsidR="00F25DF5" w:rsidRPr="00813825">
        <w:t>112</w:t>
      </w:r>
      <w:r w:rsidRPr="00813825">
        <w:t>.</w:t>
      </w:r>
      <w:r w:rsidR="00F25DF5" w:rsidRPr="00813825">
        <w:t>484</w:t>
      </w:r>
      <w:r w:rsidRPr="00813825">
        <w:t>,</w:t>
      </w:r>
      <w:r w:rsidR="00F25DF5" w:rsidRPr="00813825">
        <w:t>12</w:t>
      </w:r>
      <w:r w:rsidRPr="00813825">
        <w:t xml:space="preserve"> eura, a odnose se na plaću, prijevoz, isplate regresa i božićnice za četiri učiteljice u produženom boravku u iznosu od </w:t>
      </w:r>
      <w:r w:rsidR="00F25DF5" w:rsidRPr="00813825">
        <w:t>85</w:t>
      </w:r>
      <w:r w:rsidRPr="00813825">
        <w:t>.</w:t>
      </w:r>
      <w:r w:rsidR="00F25DF5" w:rsidRPr="00813825">
        <w:t>802</w:t>
      </w:r>
      <w:r w:rsidRPr="00813825">
        <w:t>,</w:t>
      </w:r>
      <w:r w:rsidR="00F25DF5" w:rsidRPr="00813825">
        <w:t>67</w:t>
      </w:r>
      <w:r w:rsidRPr="00813825">
        <w:t xml:space="preserve"> eura, te fakultativni predmet „Moja Rijeka“</w:t>
      </w:r>
      <w:r w:rsidR="00F25DF5" w:rsidRPr="00813825">
        <w:t xml:space="preserve"> 924,03 eura</w:t>
      </w:r>
      <w:r w:rsidRPr="00813825">
        <w:t xml:space="preserve"> i Građanski odgoj i obrazovanje</w:t>
      </w:r>
      <w:r w:rsidR="00F25DF5" w:rsidRPr="00813825">
        <w:t xml:space="preserve"> 1.959,97 eura</w:t>
      </w:r>
      <w:r w:rsidRPr="00813825">
        <w:t>“.</w:t>
      </w:r>
    </w:p>
    <w:p w:rsidR="00F25DF5" w:rsidRDefault="00F25DF5" w:rsidP="003825EF">
      <w:pPr>
        <w:spacing w:before="240" w:line="360" w:lineRule="auto"/>
        <w:jc w:val="both"/>
        <w:rPr>
          <w:color w:val="FF0000"/>
        </w:rPr>
      </w:pPr>
    </w:p>
    <w:p w:rsidR="003825EF" w:rsidRPr="00385444" w:rsidRDefault="00F25DF5" w:rsidP="003825EF">
      <w:pPr>
        <w:spacing w:before="240" w:line="360" w:lineRule="auto"/>
        <w:jc w:val="both"/>
      </w:pPr>
      <w:r w:rsidRPr="00385444">
        <w:lastRenderedPageBreak/>
        <w:t>Sa početkom školske godine 2024./2025. imamo program Rinkluzija8 u sklopu Eu projekata te zapošljavamo 6 pomoćnika u nastavi, troškovi se odnose na plaću, božićnicu, dar djeci te prijevoz u ukupnom iznosu 20.</w:t>
      </w:r>
      <w:r w:rsidR="00385444" w:rsidRPr="00385444">
        <w:t>295,48 eura</w:t>
      </w:r>
      <w:r w:rsidR="00385444">
        <w:t>.</w:t>
      </w:r>
    </w:p>
    <w:p w:rsidR="00F25DF5" w:rsidRPr="00385444" w:rsidRDefault="00F25DF5" w:rsidP="003825EF">
      <w:pPr>
        <w:spacing w:before="240" w:line="360" w:lineRule="auto"/>
        <w:jc w:val="both"/>
      </w:pPr>
    </w:p>
    <w:p w:rsidR="003825EF" w:rsidRPr="00820A4A" w:rsidRDefault="003E3B01" w:rsidP="003825EF">
      <w:pPr>
        <w:spacing w:before="240" w:line="360" w:lineRule="auto"/>
        <w:jc w:val="both"/>
      </w:pPr>
      <w:r>
        <w:t>2024.</w:t>
      </w:r>
      <w:r w:rsidR="003825EF" w:rsidRPr="00820A4A">
        <w:t xml:space="preserve"> godine </w:t>
      </w:r>
      <w:r w:rsidR="00437F30" w:rsidRPr="00820A4A">
        <w:t>škola je iz vlastitih sredstava financirala</w:t>
      </w:r>
      <w:r w:rsidR="003825EF" w:rsidRPr="00820A4A">
        <w:t xml:space="preserve"> rashod</w:t>
      </w:r>
      <w:r w:rsidR="00437F30" w:rsidRPr="00820A4A">
        <w:t>e</w:t>
      </w:r>
      <w:r w:rsidR="003825EF" w:rsidRPr="00820A4A">
        <w:t xml:space="preserve"> za nabavu nefinancijsk</w:t>
      </w:r>
      <w:r w:rsidR="00437F30" w:rsidRPr="00820A4A">
        <w:t>e</w:t>
      </w:r>
      <w:r w:rsidR="003825EF" w:rsidRPr="00820A4A">
        <w:t xml:space="preserve"> imovin</w:t>
      </w:r>
      <w:r w:rsidR="00437F30" w:rsidRPr="00820A4A">
        <w:t>e</w:t>
      </w:r>
      <w:r w:rsidR="003825EF" w:rsidRPr="00820A4A">
        <w:t xml:space="preserve"> u iznosu od </w:t>
      </w:r>
      <w:r w:rsidR="00437F30" w:rsidRPr="00820A4A">
        <w:t>4.043,26 eura a kupljeno je sljedeće:</w:t>
      </w:r>
    </w:p>
    <w:p w:rsidR="003825EF" w:rsidRPr="00820A4A" w:rsidRDefault="003825EF" w:rsidP="003825EF">
      <w:pPr>
        <w:spacing w:before="240" w:line="360" w:lineRule="auto"/>
        <w:jc w:val="both"/>
      </w:pPr>
      <w:r w:rsidRPr="00820A4A">
        <w:t xml:space="preserve">1. </w:t>
      </w:r>
      <w:r w:rsidRPr="00820A4A">
        <w:tab/>
      </w:r>
      <w:r w:rsidR="00437F30" w:rsidRPr="00820A4A">
        <w:t>uredski namještaj za novo radno mjesto psihologa</w:t>
      </w:r>
    </w:p>
    <w:p w:rsidR="003825EF" w:rsidRPr="00820A4A" w:rsidRDefault="003825EF" w:rsidP="003825EF">
      <w:pPr>
        <w:spacing w:before="240" w:line="360" w:lineRule="auto"/>
        <w:jc w:val="both"/>
      </w:pPr>
      <w:r w:rsidRPr="00820A4A">
        <w:t xml:space="preserve">2. </w:t>
      </w:r>
      <w:r w:rsidRPr="00820A4A">
        <w:tab/>
      </w:r>
      <w:r w:rsidR="00437F30" w:rsidRPr="00820A4A">
        <w:t>10 klupa s obzirom na prelazak u jednu smjenu</w:t>
      </w:r>
    </w:p>
    <w:p w:rsidR="003825EF" w:rsidRPr="00820A4A" w:rsidRDefault="003825EF" w:rsidP="003825EF">
      <w:pPr>
        <w:spacing w:before="240" w:line="360" w:lineRule="auto"/>
        <w:jc w:val="both"/>
      </w:pPr>
      <w:r w:rsidRPr="00820A4A">
        <w:t xml:space="preserve">3. </w:t>
      </w:r>
      <w:r w:rsidRPr="00820A4A">
        <w:tab/>
      </w:r>
      <w:r w:rsidR="00437F30" w:rsidRPr="00820A4A">
        <w:t xml:space="preserve">3d printer iz izvora </w:t>
      </w:r>
      <w:r w:rsidR="00820A4A" w:rsidRPr="00820A4A">
        <w:t>Instituta za inovacije (donacija za prof. Andrušić)</w:t>
      </w:r>
    </w:p>
    <w:p w:rsidR="003825EF" w:rsidRDefault="003825EF" w:rsidP="003825EF">
      <w:pPr>
        <w:spacing w:before="240" w:line="360" w:lineRule="auto"/>
        <w:jc w:val="both"/>
      </w:pPr>
      <w:r w:rsidRPr="00820A4A">
        <w:t xml:space="preserve">4. </w:t>
      </w:r>
      <w:r w:rsidRPr="00820A4A">
        <w:tab/>
      </w:r>
      <w:r w:rsidR="00820A4A" w:rsidRPr="00820A4A">
        <w:t>printer iz izvora županijskog stručnog vijeća za prof. Komadinu</w:t>
      </w:r>
    </w:p>
    <w:p w:rsidR="00437F30" w:rsidRPr="00BF1087" w:rsidRDefault="00820A4A" w:rsidP="003825EF">
      <w:pPr>
        <w:spacing w:before="240" w:line="360" w:lineRule="auto"/>
        <w:jc w:val="both"/>
      </w:pPr>
      <w:r>
        <w:t xml:space="preserve">5. </w:t>
      </w:r>
      <w:r>
        <w:tab/>
        <w:t xml:space="preserve">udžbenici </w:t>
      </w:r>
      <w:proofErr w:type="spellStart"/>
      <w:r>
        <w:t>mzo</w:t>
      </w:r>
      <w:proofErr w:type="spellEnd"/>
      <w:r>
        <w:t xml:space="preserve"> te knjige za knjižnicu</w:t>
      </w:r>
    </w:p>
    <w:p w:rsidR="003825EF" w:rsidRPr="00820A4A" w:rsidRDefault="003825EF" w:rsidP="003825EF">
      <w:pPr>
        <w:spacing w:before="240" w:line="360" w:lineRule="auto"/>
        <w:jc w:val="both"/>
      </w:pPr>
      <w:r w:rsidRPr="00820A4A">
        <w:t>S obzirom da je tijekom 202</w:t>
      </w:r>
      <w:r w:rsidR="00820A4A" w:rsidRPr="00820A4A">
        <w:t>4</w:t>
      </w:r>
      <w:r w:rsidRPr="00820A4A">
        <w:t>. također porasla cijena energenata</w:t>
      </w:r>
      <w:r w:rsidR="003E3B01">
        <w:t xml:space="preserve"> kao i prethodne godine</w:t>
      </w:r>
      <w:r w:rsidRPr="00820A4A">
        <w:t xml:space="preserve"> Osnivač je financirao</w:t>
      </w:r>
      <w:r w:rsidR="003E3B01">
        <w:t xml:space="preserve"> razliku</w:t>
      </w:r>
      <w:r w:rsidRPr="00820A4A">
        <w:t xml:space="preserve"> iz izvora 1100 u iznosu </w:t>
      </w:r>
      <w:r w:rsidR="00820A4A" w:rsidRPr="00820A4A">
        <w:t>6</w:t>
      </w:r>
      <w:r w:rsidRPr="00820A4A">
        <w:t>.000,00 eura.</w:t>
      </w:r>
    </w:p>
    <w:p w:rsidR="003825EF" w:rsidRDefault="003825EF" w:rsidP="00BF1087">
      <w:pPr>
        <w:spacing w:before="240" w:line="360" w:lineRule="auto"/>
        <w:jc w:val="both"/>
      </w:pPr>
      <w:r w:rsidRPr="00DA6AA2">
        <w:t>Decentralizirana sredstva škole su najvećim dijelom utrošena na rashode za energiju, uredski materijal i ostale materijalne rashode, usluge telefona, pošte, službena putovanja, računalne usluge, usluge tekućeg i investicijskog održavanja i komunalne usluge u iznosu od 70.</w:t>
      </w:r>
      <w:r w:rsidR="00DA6AA2" w:rsidRPr="00DA6AA2">
        <w:t>529</w:t>
      </w:r>
      <w:r w:rsidRPr="00DA6AA2">
        <w:t>,</w:t>
      </w:r>
      <w:r w:rsidR="00DA6AA2" w:rsidRPr="00DA6AA2">
        <w:t>0</w:t>
      </w:r>
      <w:r w:rsidRPr="00DA6AA2">
        <w:t>3</w:t>
      </w:r>
      <w:r w:rsidR="00DA6AA2">
        <w:t xml:space="preserve"> </w:t>
      </w:r>
      <w:r w:rsidRPr="00DA6AA2">
        <w:t>eura.</w:t>
      </w:r>
    </w:p>
    <w:p w:rsidR="00BF1087" w:rsidRPr="00BF1087" w:rsidRDefault="00BF1087" w:rsidP="00BF1087">
      <w:pPr>
        <w:spacing w:before="240" w:line="360" w:lineRule="auto"/>
        <w:jc w:val="both"/>
      </w:pPr>
    </w:p>
    <w:p w:rsidR="003825EF" w:rsidRPr="00820A4A" w:rsidRDefault="003825EF" w:rsidP="003825EF">
      <w:pPr>
        <w:spacing w:after="120" w:line="360" w:lineRule="auto"/>
        <w:jc w:val="both"/>
        <w:rPr>
          <w:b/>
          <w:i/>
        </w:rPr>
      </w:pPr>
      <w:r w:rsidRPr="00820A4A">
        <w:rPr>
          <w:b/>
          <w:i/>
        </w:rPr>
        <w:t>Tablica 1. Prikaz prihoda i rashoda po kategorijama</w:t>
      </w:r>
    </w:p>
    <w:tbl>
      <w:tblPr>
        <w:tblW w:w="9407" w:type="dxa"/>
        <w:tblInd w:w="108" w:type="dxa"/>
        <w:tblLook w:val="04A0" w:firstRow="1" w:lastRow="0" w:firstColumn="1" w:lastColumn="0" w:noHBand="0" w:noVBand="1"/>
      </w:tblPr>
      <w:tblGrid>
        <w:gridCol w:w="1558"/>
        <w:gridCol w:w="6373"/>
        <w:gridCol w:w="1476"/>
      </w:tblGrid>
      <w:tr w:rsidR="00820A4A" w:rsidRPr="00820A4A" w:rsidTr="00F25DF5">
        <w:trPr>
          <w:trHeight w:val="94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600" w:firstLine="1440"/>
              <w:rPr>
                <w:b/>
                <w:bCs/>
              </w:rPr>
            </w:pPr>
            <w:r w:rsidRPr="00820A4A">
              <w:rPr>
                <w:b/>
                <w:bCs/>
              </w:rPr>
              <w:t>PRIHODI I RASHODI OD POSLOVANJA</w:t>
            </w:r>
          </w:p>
        </w:tc>
      </w:tr>
      <w:tr w:rsidR="00820A4A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Prihodi poslovanja (6)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5EF" w:rsidRPr="00820A4A" w:rsidRDefault="003825EF" w:rsidP="00437F30">
            <w:pPr>
              <w:jc w:val="right"/>
            </w:pPr>
            <w:r w:rsidRPr="00820A4A">
              <w:t>1.</w:t>
            </w:r>
            <w:r w:rsidR="00437F30" w:rsidRPr="00820A4A">
              <w:t>631</w:t>
            </w:r>
            <w:r w:rsidRPr="00820A4A">
              <w:t>.</w:t>
            </w:r>
            <w:r w:rsidR="00437F30" w:rsidRPr="00820A4A">
              <w:t>457</w:t>
            </w:r>
            <w:r w:rsidRPr="00820A4A">
              <w:t>,</w:t>
            </w:r>
            <w:r w:rsidR="00437F30" w:rsidRPr="00820A4A">
              <w:t>14</w:t>
            </w:r>
          </w:p>
        </w:tc>
      </w:tr>
      <w:tr w:rsidR="00820A4A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Rashodi poslovanja (3)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5EF" w:rsidRPr="00820A4A" w:rsidRDefault="003825EF" w:rsidP="00437F30">
            <w:pPr>
              <w:jc w:val="right"/>
            </w:pPr>
            <w:r w:rsidRPr="00820A4A">
              <w:t>1.</w:t>
            </w:r>
            <w:r w:rsidR="00437F30" w:rsidRPr="00820A4A">
              <w:t>637</w:t>
            </w:r>
            <w:r w:rsidRPr="00820A4A">
              <w:t>.</w:t>
            </w:r>
            <w:r w:rsidR="00437F30" w:rsidRPr="00820A4A">
              <w:t>788</w:t>
            </w:r>
            <w:r w:rsidRPr="00820A4A">
              <w:t>,</w:t>
            </w:r>
            <w:r w:rsidR="00437F30" w:rsidRPr="00820A4A">
              <w:t>8</w:t>
            </w:r>
            <w:r w:rsidRPr="00820A4A">
              <w:t>0</w:t>
            </w:r>
          </w:p>
        </w:tc>
      </w:tr>
      <w:tr w:rsidR="00820A4A" w:rsidRPr="00820A4A" w:rsidTr="00F25DF5">
        <w:trPr>
          <w:trHeight w:val="48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  <w:jc w:val="right"/>
            </w:pPr>
            <w:r w:rsidRPr="00820A4A">
              <w:t> </w:t>
            </w:r>
          </w:p>
        </w:tc>
      </w:tr>
      <w:tr w:rsidR="00820A4A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5444" w:rsidP="00E0669B">
            <w:pPr>
              <w:ind w:firstLineChars="100" w:firstLine="240"/>
            </w:pPr>
            <w:r>
              <w:t>MANJAK</w:t>
            </w:r>
            <w:r w:rsidR="003825EF" w:rsidRPr="00820A4A">
              <w:t xml:space="preserve"> PRIHODA POSLOVANJA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5EF" w:rsidRPr="00820A4A" w:rsidRDefault="00437F30" w:rsidP="00437F30">
            <w:pPr>
              <w:jc w:val="right"/>
            </w:pPr>
            <w:r w:rsidRPr="00820A4A">
              <w:t>-6</w:t>
            </w:r>
            <w:r w:rsidR="003825EF" w:rsidRPr="00820A4A">
              <w:t>.</w:t>
            </w:r>
            <w:r w:rsidRPr="00820A4A">
              <w:t>3</w:t>
            </w:r>
            <w:r w:rsidR="003825EF" w:rsidRPr="00820A4A">
              <w:t>3</w:t>
            </w:r>
            <w:r w:rsidRPr="00820A4A">
              <w:t>1</w:t>
            </w:r>
            <w:r w:rsidR="003825EF" w:rsidRPr="00820A4A">
              <w:t>,</w:t>
            </w:r>
            <w:r w:rsidRPr="00820A4A">
              <w:t>66</w:t>
            </w:r>
          </w:p>
        </w:tc>
      </w:tr>
      <w:tr w:rsidR="00820A4A" w:rsidRPr="00820A4A" w:rsidTr="00F25DF5">
        <w:trPr>
          <w:trHeight w:val="101"/>
        </w:trPr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385444">
            <w:r w:rsidRPr="00820A4A">
              <w:t> </w:t>
            </w:r>
          </w:p>
        </w:tc>
      </w:tr>
      <w:tr w:rsidR="00820A4A" w:rsidRPr="00820A4A" w:rsidTr="00F25DF5">
        <w:trPr>
          <w:trHeight w:val="101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600" w:firstLine="1440"/>
              <w:rPr>
                <w:b/>
                <w:bCs/>
              </w:rPr>
            </w:pPr>
            <w:r w:rsidRPr="00820A4A">
              <w:rPr>
                <w:b/>
                <w:bCs/>
              </w:rPr>
              <w:t>PRIHODI I RASHODI OD NEFINANCIJSKE IMOVINE</w:t>
            </w:r>
          </w:p>
        </w:tc>
      </w:tr>
      <w:tr w:rsidR="00820A4A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Prihodi od prodaje nefinancijske imovine (7)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437F30" w:rsidP="00E0669B">
            <w:pPr>
              <w:jc w:val="right"/>
            </w:pPr>
            <w:r w:rsidRPr="00820A4A">
              <w:t>0,00</w:t>
            </w:r>
          </w:p>
        </w:tc>
      </w:tr>
      <w:tr w:rsidR="00820A4A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Rashodi za nabavu nefinancijske imovine (4)</w:t>
            </w:r>
          </w:p>
        </w:tc>
        <w:tc>
          <w:tcPr>
            <w:tcW w:w="1476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3825EF" w:rsidRPr="00820A4A" w:rsidRDefault="00437F30" w:rsidP="00437F30">
            <w:pPr>
              <w:jc w:val="right"/>
            </w:pPr>
            <w:r w:rsidRPr="00820A4A">
              <w:t>4</w:t>
            </w:r>
            <w:r w:rsidR="003825EF" w:rsidRPr="00820A4A">
              <w:t>.</w:t>
            </w:r>
            <w:r w:rsidRPr="00820A4A">
              <w:t>043</w:t>
            </w:r>
            <w:r w:rsidR="003825EF" w:rsidRPr="00820A4A">
              <w:t>,</w:t>
            </w:r>
            <w:r w:rsidRPr="00820A4A">
              <w:t>26</w:t>
            </w:r>
          </w:p>
        </w:tc>
      </w:tr>
      <w:tr w:rsidR="00820A4A" w:rsidRPr="00820A4A" w:rsidTr="00F25DF5">
        <w:trPr>
          <w:trHeight w:val="2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r w:rsidRPr="00820A4A">
              <w:t> </w:t>
            </w:r>
          </w:p>
        </w:tc>
      </w:tr>
      <w:tr w:rsidR="00820A4A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3825EF" w:rsidP="00E0669B">
            <w:pPr>
              <w:ind w:firstLineChars="100" w:firstLine="240"/>
            </w:pPr>
            <w:r w:rsidRPr="00820A4A">
              <w:t>MANJAK PRIHODA OD NEFINANCIJSKE IMOVINE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20A4A" w:rsidRDefault="00437F30" w:rsidP="00437F30">
            <w:pPr>
              <w:jc w:val="right"/>
            </w:pPr>
            <w:r w:rsidRPr="00820A4A">
              <w:t>-4</w:t>
            </w:r>
            <w:r w:rsidR="003825EF" w:rsidRPr="00820A4A">
              <w:t>.</w:t>
            </w:r>
            <w:r w:rsidRPr="00820A4A">
              <w:t>043</w:t>
            </w:r>
            <w:r w:rsidR="003825EF" w:rsidRPr="00820A4A">
              <w:t>,</w:t>
            </w:r>
            <w:r w:rsidRPr="00820A4A">
              <w:t>26</w:t>
            </w:r>
          </w:p>
        </w:tc>
      </w:tr>
      <w:tr w:rsidR="00385444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44" w:rsidRPr="00820A4A" w:rsidRDefault="00385444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44" w:rsidRPr="00820A4A" w:rsidRDefault="00385444" w:rsidP="00E0669B">
            <w:pPr>
              <w:ind w:firstLineChars="100" w:firstLine="240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44" w:rsidRPr="00820A4A" w:rsidRDefault="00385444" w:rsidP="00437F30">
            <w:pPr>
              <w:jc w:val="right"/>
            </w:pPr>
          </w:p>
        </w:tc>
      </w:tr>
      <w:tr w:rsidR="00385444" w:rsidRPr="00820A4A" w:rsidTr="00F25DF5">
        <w:trPr>
          <w:trHeight w:val="101"/>
        </w:trPr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44" w:rsidRPr="00820A4A" w:rsidRDefault="00385444" w:rsidP="00E0669B">
            <w:pPr>
              <w:ind w:firstLineChars="100" w:firstLine="240"/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44" w:rsidRPr="00385444" w:rsidRDefault="00385444" w:rsidP="00E0669B">
            <w:pPr>
              <w:ind w:firstLineChars="100" w:firstLine="240"/>
              <w:rPr>
                <w:b/>
              </w:rPr>
            </w:pPr>
            <w:r w:rsidRPr="00385444">
              <w:rPr>
                <w:b/>
              </w:rPr>
              <w:t>UKUPNI MANJAK PRIHODA POSLOVANJA: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44" w:rsidRPr="00385444" w:rsidRDefault="00385444" w:rsidP="00437F30">
            <w:pPr>
              <w:jc w:val="right"/>
              <w:rPr>
                <w:b/>
              </w:rPr>
            </w:pPr>
            <w:r w:rsidRPr="00385444">
              <w:rPr>
                <w:b/>
              </w:rPr>
              <w:t>-10.374,92</w:t>
            </w:r>
          </w:p>
        </w:tc>
      </w:tr>
    </w:tbl>
    <w:p w:rsidR="003825EF" w:rsidRPr="003E3B01" w:rsidRDefault="003825EF" w:rsidP="003825EF">
      <w:pPr>
        <w:spacing w:line="360" w:lineRule="auto"/>
        <w:jc w:val="both"/>
        <w:rPr>
          <w:b/>
          <w:i/>
        </w:rPr>
      </w:pPr>
      <w:r w:rsidRPr="003E3B01">
        <w:lastRenderedPageBreak/>
        <w:t>Razlik</w:t>
      </w:r>
      <w:r w:rsidR="003E3B01" w:rsidRPr="003E3B01">
        <w:t>a</w:t>
      </w:r>
      <w:r w:rsidRPr="003E3B01">
        <w:t xml:space="preserve"> između prihoda poslovanja i prihoda od prodaje nefinancijske imovine u odnosu na rashode poslovanja i rashode za nabavu nefinancijske imovine rezultiral</w:t>
      </w:r>
      <w:r w:rsidR="003E3B01" w:rsidRPr="003E3B01">
        <w:t>a</w:t>
      </w:r>
      <w:r w:rsidRPr="003E3B01">
        <w:t xml:space="preserve"> je manjkom prihoda.</w:t>
      </w:r>
    </w:p>
    <w:p w:rsidR="003825EF" w:rsidRPr="003E3B01" w:rsidRDefault="003825EF" w:rsidP="003825EF">
      <w:pPr>
        <w:spacing w:line="360" w:lineRule="auto"/>
        <w:jc w:val="both"/>
        <w:rPr>
          <w:b/>
          <w:i/>
        </w:rPr>
      </w:pPr>
    </w:p>
    <w:p w:rsidR="00437F30" w:rsidRPr="007113E9" w:rsidRDefault="00437F30" w:rsidP="003825EF">
      <w:pPr>
        <w:spacing w:line="360" w:lineRule="auto"/>
        <w:jc w:val="both"/>
        <w:rPr>
          <w:b/>
          <w:i/>
          <w:color w:val="FF0000"/>
        </w:rPr>
      </w:pPr>
    </w:p>
    <w:p w:rsidR="003825EF" w:rsidRDefault="003825EF" w:rsidP="003825EF">
      <w:pPr>
        <w:spacing w:line="360" w:lineRule="auto"/>
        <w:jc w:val="both"/>
        <w:rPr>
          <w:b/>
          <w:i/>
        </w:rPr>
      </w:pPr>
      <w:r w:rsidRPr="00DA6AA2">
        <w:rPr>
          <w:b/>
          <w:i/>
        </w:rPr>
        <w:t>Tablica 2. Pregled najznačajnijih odstupanja u odnosu na isto razdoblje prethodne godine</w:t>
      </w:r>
    </w:p>
    <w:p w:rsidR="003E3B01" w:rsidRDefault="003E3B01" w:rsidP="003825EF">
      <w:pPr>
        <w:spacing w:line="360" w:lineRule="auto"/>
        <w:jc w:val="both"/>
        <w:rPr>
          <w:b/>
          <w:i/>
        </w:rPr>
      </w:pPr>
    </w:p>
    <w:p w:rsidR="00BF1087" w:rsidRPr="00DA6AA2" w:rsidRDefault="00BF1087" w:rsidP="003825EF">
      <w:pPr>
        <w:spacing w:line="360" w:lineRule="auto"/>
        <w:jc w:val="both"/>
        <w:rPr>
          <w:b/>
          <w:i/>
        </w:rPr>
      </w:pPr>
    </w:p>
    <w:tbl>
      <w:tblPr>
        <w:tblpPr w:leftFromText="180" w:rightFromText="180" w:vertAnchor="text" w:tblpY="1"/>
        <w:tblOverlap w:val="never"/>
        <w:tblW w:w="9408" w:type="dxa"/>
        <w:tblLook w:val="04A0" w:firstRow="1" w:lastRow="0" w:firstColumn="1" w:lastColumn="0" w:noHBand="0" w:noVBand="1"/>
      </w:tblPr>
      <w:tblGrid>
        <w:gridCol w:w="1208"/>
        <w:gridCol w:w="2396"/>
        <w:gridCol w:w="1716"/>
        <w:gridCol w:w="4088"/>
      </w:tblGrid>
      <w:tr w:rsidR="00DA6AA2" w:rsidRPr="00DA6AA2" w:rsidTr="00E0669B">
        <w:trPr>
          <w:trHeight w:val="6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DA6AA2" w:rsidRDefault="003825EF" w:rsidP="00E0669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DA6AA2" w:rsidRDefault="003825EF" w:rsidP="00E0669B">
            <w:pPr>
              <w:jc w:val="center"/>
              <w:rPr>
                <w:b/>
                <w:bCs/>
                <w:i/>
                <w:iCs/>
              </w:rPr>
            </w:pPr>
            <w:r w:rsidRPr="00DA6AA2">
              <w:rPr>
                <w:b/>
                <w:bCs/>
                <w:i/>
                <w:iCs/>
              </w:rPr>
              <w:t>Naziv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DA6AA2" w:rsidRDefault="003825EF" w:rsidP="00E0669B">
            <w:pPr>
              <w:jc w:val="center"/>
              <w:rPr>
                <w:b/>
                <w:bCs/>
                <w:i/>
                <w:iCs/>
              </w:rPr>
            </w:pPr>
            <w:r w:rsidRPr="00DA6AA2">
              <w:rPr>
                <w:b/>
                <w:bCs/>
                <w:i/>
                <w:iCs/>
              </w:rPr>
              <w:t>Iznos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DA6AA2" w:rsidRDefault="003825EF" w:rsidP="00E0669B">
            <w:pPr>
              <w:jc w:val="center"/>
              <w:rPr>
                <w:b/>
                <w:bCs/>
                <w:i/>
                <w:iCs/>
              </w:rPr>
            </w:pPr>
            <w:r w:rsidRPr="00DA6AA2">
              <w:rPr>
                <w:b/>
                <w:bCs/>
                <w:i/>
                <w:iCs/>
              </w:rPr>
              <w:t>Obrazloženje</w:t>
            </w:r>
          </w:p>
        </w:tc>
      </w:tr>
      <w:tr w:rsidR="00DA6AA2" w:rsidRPr="00DA6AA2" w:rsidTr="00E0669B">
        <w:trPr>
          <w:trHeight w:val="140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DA6AA2" w:rsidRDefault="003825EF" w:rsidP="00E0669B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DA6AA2" w:rsidRDefault="003825EF" w:rsidP="00E0669B">
            <w:pPr>
              <w:ind w:firstLineChars="100" w:firstLine="240"/>
            </w:pPr>
            <w:r w:rsidRPr="00DA6AA2">
              <w:t>6361 - Pomoći iz proračuna koji im nije nadležan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DA6AA2" w:rsidRDefault="003825EF" w:rsidP="00DA6AA2">
            <w:pPr>
              <w:ind w:firstLineChars="100" w:firstLine="240"/>
              <w:jc w:val="right"/>
            </w:pPr>
            <w:r w:rsidRPr="00DA6AA2">
              <w:t>1.</w:t>
            </w:r>
            <w:r w:rsidR="00DA6AA2" w:rsidRPr="00DA6AA2">
              <w:t>343.003,83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DA6AA2" w:rsidRDefault="003825EF" w:rsidP="003E3B01">
            <w:pPr>
              <w:ind w:firstLineChars="100" w:firstLine="240"/>
            </w:pPr>
            <w:r w:rsidRPr="00DA6AA2">
              <w:t>Prihodi su veći za 2</w:t>
            </w:r>
            <w:r w:rsidR="003E3B01">
              <w:t>0</w:t>
            </w:r>
            <w:r w:rsidRPr="00DA6AA2">
              <w:t>,</w:t>
            </w:r>
            <w:r w:rsidR="003E3B01">
              <w:t>8</w:t>
            </w:r>
            <w:r w:rsidRPr="00DA6AA2">
              <w:t>% zbog povećanja plaća zaposlenika</w:t>
            </w:r>
            <w:r w:rsidR="00DA6AA2" w:rsidRPr="00DA6AA2">
              <w:t xml:space="preserve"> od 01.03.2024.</w:t>
            </w:r>
            <w:r w:rsidRPr="00DA6AA2">
              <w:t>.</w:t>
            </w:r>
          </w:p>
        </w:tc>
      </w:tr>
      <w:tr w:rsidR="007113E9" w:rsidRPr="007113E9" w:rsidTr="00E0669B">
        <w:trPr>
          <w:trHeight w:val="184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7113E9" w:rsidRDefault="003825EF" w:rsidP="00EF3333">
            <w:pPr>
              <w:ind w:firstLineChars="100" w:firstLine="240"/>
              <w:rPr>
                <w:color w:val="FF0000"/>
              </w:rPr>
            </w:pPr>
            <w:r w:rsidRPr="00EF3333">
              <w:t>63</w:t>
            </w:r>
            <w:r w:rsidR="00EF3333" w:rsidRPr="00EF3333">
              <w:t>91</w:t>
            </w:r>
            <w:r w:rsidRPr="00EF3333">
              <w:t xml:space="preserve">- </w:t>
            </w:r>
            <w:r w:rsidR="00EF3333" w:rsidRPr="00EF3333">
              <w:t>Tekući prijenosi između korisnika istog proračuna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EF3333" w:rsidP="00E0669B">
            <w:pPr>
              <w:ind w:firstLineChars="100" w:firstLine="240"/>
              <w:jc w:val="right"/>
              <w:rPr>
                <w:color w:val="FF0000"/>
              </w:rPr>
            </w:pPr>
            <w:r w:rsidRPr="00EF3333">
              <w:t xml:space="preserve">3.094,24 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7113E9" w:rsidRDefault="00EF3333" w:rsidP="00E0669B">
            <w:pPr>
              <w:rPr>
                <w:color w:val="FF0000"/>
              </w:rPr>
            </w:pPr>
            <w:r w:rsidRPr="00EF3333">
              <w:t>Odnosi se na povrat neutrošenih sredstava prehrane te na učeničku zadrugu</w:t>
            </w:r>
          </w:p>
        </w:tc>
      </w:tr>
      <w:tr w:rsidR="007113E9" w:rsidRPr="007113E9" w:rsidTr="00E0669B">
        <w:trPr>
          <w:trHeight w:val="169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EF3333" w:rsidRDefault="003825EF" w:rsidP="00E0669B">
            <w:pPr>
              <w:ind w:firstLineChars="100" w:firstLine="240"/>
            </w:pPr>
            <w:r w:rsidRPr="00EF3333">
              <w:t>6526 – Ostali nespomenuti prihodi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EF3333" w:rsidRDefault="00DA6AA2" w:rsidP="00DA6AA2">
            <w:pPr>
              <w:ind w:firstLineChars="100" w:firstLine="240"/>
              <w:jc w:val="right"/>
            </w:pPr>
            <w:r w:rsidRPr="00EF3333">
              <w:t>90</w:t>
            </w:r>
            <w:r w:rsidR="003825EF" w:rsidRPr="00EF3333">
              <w:t>.</w:t>
            </w:r>
            <w:r w:rsidRPr="00EF3333">
              <w:t>874</w:t>
            </w:r>
            <w:r w:rsidR="003825EF" w:rsidRPr="00EF3333">
              <w:t>,</w:t>
            </w:r>
            <w:r w:rsidRPr="00EF3333">
              <w:t>90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EF3333" w:rsidRDefault="003825EF" w:rsidP="00EF3333">
            <w:r w:rsidRPr="00EF3333">
              <w:t xml:space="preserve">U odnosu na prethodnu godinu prihodi od sufinanciranja su </w:t>
            </w:r>
            <w:r w:rsidR="00EF3333" w:rsidRPr="00EF3333">
              <w:t>povećani</w:t>
            </w:r>
            <w:r w:rsidRPr="00EF3333">
              <w:t xml:space="preserve"> za </w:t>
            </w:r>
            <w:r w:rsidR="00EF3333" w:rsidRPr="00EF3333">
              <w:t>17</w:t>
            </w:r>
            <w:r w:rsidRPr="00EF3333">
              <w:t>,</w:t>
            </w:r>
            <w:r w:rsidR="00EF3333" w:rsidRPr="00EF3333">
              <w:t>3</w:t>
            </w:r>
            <w:r w:rsidRPr="00EF3333">
              <w:t xml:space="preserve">% redovitijih uplata roditelja </w:t>
            </w:r>
          </w:p>
        </w:tc>
      </w:tr>
      <w:tr w:rsidR="007113E9" w:rsidRPr="007113E9" w:rsidTr="00E0669B">
        <w:trPr>
          <w:trHeight w:val="14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E3B01" w:rsidRDefault="003825EF" w:rsidP="00E0669B">
            <w:pPr>
              <w:ind w:firstLineChars="100" w:firstLine="240"/>
            </w:pPr>
            <w:r w:rsidRPr="003E3B01">
              <w:t>6711 – prihodi iz nadležnog proračuna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3E3B01" w:rsidRDefault="003825EF" w:rsidP="003E3B01">
            <w:pPr>
              <w:ind w:firstLineChars="100" w:firstLine="240"/>
              <w:jc w:val="right"/>
            </w:pPr>
            <w:r w:rsidRPr="003E3B01">
              <w:t>1</w:t>
            </w:r>
            <w:r w:rsidR="003E3B01" w:rsidRPr="003E3B01">
              <w:t>82</w:t>
            </w:r>
            <w:r w:rsidRPr="003E3B01">
              <w:t>.</w:t>
            </w:r>
            <w:r w:rsidR="003E3B01" w:rsidRPr="003E3B01">
              <w:t>535</w:t>
            </w:r>
            <w:r w:rsidRPr="003E3B01">
              <w:t>,8</w:t>
            </w:r>
            <w:r w:rsidR="003E3B01" w:rsidRPr="003E3B01"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E3B01" w:rsidRDefault="003825EF" w:rsidP="003E3B01">
            <w:r w:rsidRPr="003E3B01">
              <w:t>Povećani  su za 2</w:t>
            </w:r>
            <w:r w:rsidR="003E3B01" w:rsidRPr="003E3B01">
              <w:t>9</w:t>
            </w:r>
            <w:r w:rsidRPr="003E3B01">
              <w:t>,</w:t>
            </w:r>
            <w:r w:rsidR="003E3B01" w:rsidRPr="003E3B01">
              <w:t>4</w:t>
            </w:r>
            <w:r w:rsidRPr="003E3B01">
              <w:t>% zbog povećanih troškova decentralizacije te plaća produženog boravka</w:t>
            </w:r>
            <w:r w:rsidR="003E3B01" w:rsidRPr="003E3B01">
              <w:t xml:space="preserve"> odnosno promjene koeficijenta</w:t>
            </w:r>
            <w:r w:rsidRPr="003E3B01">
              <w:t>, veće božićnice</w:t>
            </w:r>
            <w:r w:rsidR="003E3B01" w:rsidRPr="003E3B01">
              <w:t xml:space="preserve">, dara djeci, </w:t>
            </w:r>
            <w:proofErr w:type="spellStart"/>
            <w:r w:rsidR="003E3B01" w:rsidRPr="003E3B01">
              <w:t>uskršnjice</w:t>
            </w:r>
            <w:proofErr w:type="spellEnd"/>
          </w:p>
        </w:tc>
      </w:tr>
      <w:tr w:rsidR="003E3B01" w:rsidRPr="007113E9" w:rsidTr="00E0669B">
        <w:trPr>
          <w:trHeight w:val="14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B01" w:rsidRPr="007113E9" w:rsidRDefault="003E3B01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01" w:rsidRPr="003E3B01" w:rsidRDefault="003E3B01" w:rsidP="00E0669B">
            <w:pPr>
              <w:ind w:firstLineChars="100" w:firstLine="240"/>
            </w:pPr>
            <w:r>
              <w:t xml:space="preserve">6712 – prihod iz </w:t>
            </w:r>
            <w:proofErr w:type="spellStart"/>
            <w:r>
              <w:t>nadl.proračuna</w:t>
            </w:r>
            <w:proofErr w:type="spellEnd"/>
            <w:r>
              <w:t xml:space="preserve"> za nabavu </w:t>
            </w:r>
            <w:proofErr w:type="spellStart"/>
            <w:r>
              <w:t>nefin.imov</w:t>
            </w:r>
            <w:proofErr w:type="spellEnd"/>
            <w:r>
              <w:t>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B01" w:rsidRPr="003E3B01" w:rsidRDefault="003E3B01" w:rsidP="003E3B01">
            <w:pPr>
              <w:ind w:firstLineChars="100" w:firstLine="240"/>
              <w:jc w:val="right"/>
            </w:pPr>
            <w:r>
              <w:t>7.788,03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01" w:rsidRPr="003E3B01" w:rsidRDefault="003E3B01" w:rsidP="003E3B01">
            <w:r>
              <w:t xml:space="preserve">Porast za </w:t>
            </w:r>
            <w:r w:rsidR="008F3A66">
              <w:t>272% odnosi se na imovinu nabavljenu 2023.godine a prihod je priznat u 2024.godini</w:t>
            </w:r>
          </w:p>
        </w:tc>
      </w:tr>
      <w:tr w:rsidR="00BF1087" w:rsidRPr="007113E9" w:rsidTr="00E0669B">
        <w:trPr>
          <w:trHeight w:val="14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87" w:rsidRPr="007113E9" w:rsidRDefault="00BF1087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87" w:rsidRDefault="00BF1087" w:rsidP="00E0669B">
            <w:pPr>
              <w:ind w:firstLineChars="100" w:firstLine="240"/>
            </w:pPr>
            <w:r>
              <w:t>6614 – prihod od prodaje proizvoda i robe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87" w:rsidRDefault="00BF1087" w:rsidP="003E3B01">
            <w:pPr>
              <w:ind w:firstLineChars="100" w:firstLine="240"/>
              <w:jc w:val="right"/>
            </w:pPr>
            <w:r>
              <w:t>195,00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87" w:rsidRDefault="00BF1087" w:rsidP="003E3B01">
            <w:r>
              <w:t>Smanjenje za 80% u odnosu na 2023.godinu</w:t>
            </w:r>
          </w:p>
        </w:tc>
      </w:tr>
      <w:tr w:rsidR="00BF1087" w:rsidRPr="007113E9" w:rsidTr="00E0669B">
        <w:trPr>
          <w:trHeight w:val="14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87" w:rsidRPr="007113E9" w:rsidRDefault="00BF1087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87" w:rsidRDefault="00BF1087" w:rsidP="00E0669B">
            <w:pPr>
              <w:ind w:firstLineChars="100" w:firstLine="240"/>
            </w:pPr>
            <w:r>
              <w:t>6631- tekuće donacije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087" w:rsidRDefault="00BF1087" w:rsidP="003E3B01">
            <w:pPr>
              <w:ind w:firstLineChars="100" w:firstLine="240"/>
              <w:jc w:val="right"/>
            </w:pPr>
            <w:r>
              <w:t>1.140,00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87" w:rsidRDefault="00BF1087" w:rsidP="003E3B01">
            <w:r>
              <w:t>Smanjenje 48,2% u odnosu na 2023.godinu</w:t>
            </w:r>
          </w:p>
        </w:tc>
      </w:tr>
      <w:tr w:rsidR="007113E9" w:rsidRPr="007113E9" w:rsidTr="00E0669B">
        <w:trPr>
          <w:trHeight w:val="167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F3A66" w:rsidRDefault="003825EF" w:rsidP="00E0669B">
            <w:pPr>
              <w:ind w:firstLineChars="100" w:firstLine="240"/>
            </w:pPr>
            <w:r w:rsidRPr="008F3A66">
              <w:t>3111 - Plaće za redovan rad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F3A66" w:rsidRDefault="008F3A66" w:rsidP="008F3A66">
            <w:pPr>
              <w:ind w:firstLineChars="100" w:firstLine="240"/>
              <w:jc w:val="right"/>
            </w:pPr>
            <w:r w:rsidRPr="008F3A66">
              <w:t>1.097</w:t>
            </w:r>
            <w:r w:rsidR="003825EF" w:rsidRPr="008F3A66">
              <w:t>.</w:t>
            </w:r>
            <w:r w:rsidRPr="008F3A66">
              <w:t>482</w:t>
            </w:r>
            <w:r w:rsidR="003825EF" w:rsidRPr="008F3A66">
              <w:t>,</w:t>
            </w:r>
            <w:r w:rsidRPr="008F3A66">
              <w:t>43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F3A66" w:rsidRDefault="003825EF" w:rsidP="008F3A66">
            <w:pPr>
              <w:ind w:firstLineChars="100" w:firstLine="240"/>
            </w:pPr>
            <w:r w:rsidRPr="008F3A66">
              <w:t xml:space="preserve">Porast rashoda za redovni rad plaće za </w:t>
            </w:r>
            <w:r w:rsidR="008F3A66" w:rsidRPr="008F3A66">
              <w:t>29</w:t>
            </w:r>
            <w:r w:rsidRPr="008F3A66">
              <w:t>,</w:t>
            </w:r>
            <w:r w:rsidR="008F3A66" w:rsidRPr="008F3A66">
              <w:t>9</w:t>
            </w:r>
            <w:r w:rsidRPr="008F3A66">
              <w:t>% zbog povećanja plaća</w:t>
            </w:r>
            <w:r w:rsidR="008F3A66" w:rsidRPr="008F3A66">
              <w:t xml:space="preserve"> odnosno promjene koeficijenta sa 01.03.2024.</w:t>
            </w:r>
          </w:p>
        </w:tc>
      </w:tr>
      <w:tr w:rsidR="007113E9" w:rsidRPr="007113E9" w:rsidTr="00E0669B">
        <w:trPr>
          <w:trHeight w:val="1701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F3A66" w:rsidRDefault="003825EF" w:rsidP="008F3A66">
            <w:pPr>
              <w:ind w:firstLineChars="100" w:firstLine="240"/>
            </w:pPr>
            <w:r w:rsidRPr="008F3A66">
              <w:t>31</w:t>
            </w:r>
            <w:r w:rsidR="008F3A66" w:rsidRPr="008F3A66">
              <w:t>14</w:t>
            </w:r>
            <w:r w:rsidRPr="008F3A66">
              <w:t xml:space="preserve"> – </w:t>
            </w:r>
            <w:r w:rsidR="008F3A66" w:rsidRPr="008F3A66">
              <w:t>Plaće za posebne uvjete rada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F3A66" w:rsidRDefault="003825EF" w:rsidP="008F3A66">
            <w:pPr>
              <w:ind w:firstLineChars="100" w:firstLine="240"/>
              <w:jc w:val="right"/>
            </w:pPr>
            <w:r w:rsidRPr="008F3A66">
              <w:t>4.</w:t>
            </w:r>
            <w:r w:rsidR="008F3A66" w:rsidRPr="008F3A66">
              <w:t>129</w:t>
            </w:r>
            <w:r w:rsidRPr="008F3A66">
              <w:t>,</w:t>
            </w:r>
            <w:r w:rsidR="008F3A66" w:rsidRPr="008F3A66">
              <w:t>02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F3A66" w:rsidRDefault="003825EF" w:rsidP="008F3A66">
            <w:pPr>
              <w:ind w:firstLineChars="100" w:firstLine="240"/>
            </w:pPr>
            <w:r w:rsidRPr="008F3A66">
              <w:t xml:space="preserve">Povećanje za </w:t>
            </w:r>
            <w:r w:rsidR="008F3A66" w:rsidRPr="008F3A66">
              <w:t>30</w:t>
            </w:r>
            <w:r w:rsidRPr="008F3A66">
              <w:t>,</w:t>
            </w:r>
            <w:r w:rsidR="008F3A66" w:rsidRPr="008F3A66">
              <w:t>1</w:t>
            </w:r>
            <w:r w:rsidRPr="008F3A66">
              <w:t xml:space="preserve">% odnosi se na </w:t>
            </w:r>
            <w:r w:rsidR="008F3A66" w:rsidRPr="008F3A66">
              <w:t>prilagođeni program koji se provodi u školi</w:t>
            </w:r>
          </w:p>
        </w:tc>
      </w:tr>
      <w:tr w:rsidR="007113E9" w:rsidRPr="007113E9" w:rsidTr="00E0669B">
        <w:trPr>
          <w:trHeight w:val="169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F3A66" w:rsidRDefault="003825EF" w:rsidP="00E0669B">
            <w:pPr>
              <w:ind w:firstLineChars="100" w:firstLine="240"/>
            </w:pPr>
            <w:r w:rsidRPr="008F3A66">
              <w:t>3132 - Doprinosi za zdravstveno osiguranje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F3A66" w:rsidRDefault="003825EF" w:rsidP="008F3A66">
            <w:pPr>
              <w:ind w:firstLineChars="100" w:firstLine="240"/>
              <w:jc w:val="right"/>
            </w:pPr>
            <w:r w:rsidRPr="008F3A66">
              <w:t>1</w:t>
            </w:r>
            <w:r w:rsidR="008F3A66" w:rsidRPr="008F3A66">
              <w:t>84</w:t>
            </w:r>
            <w:r w:rsidRPr="008F3A66">
              <w:t>.</w:t>
            </w:r>
            <w:r w:rsidR="008F3A66" w:rsidRPr="008F3A66">
              <w:t>306</w:t>
            </w:r>
            <w:r w:rsidRPr="008F3A66">
              <w:t>,</w:t>
            </w:r>
            <w:r w:rsidR="008F3A66" w:rsidRPr="008F3A66">
              <w:t>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F3A66" w:rsidRDefault="003825EF" w:rsidP="008F3A66">
            <w:pPr>
              <w:ind w:firstLineChars="100" w:firstLine="240"/>
              <w:rPr>
                <w:highlight w:val="yellow"/>
              </w:rPr>
            </w:pPr>
            <w:r w:rsidRPr="008F3A66">
              <w:t>Zbog povećanja bruto plaća porasli su i doprinosi na plaću za zdravstveno osiguranje (</w:t>
            </w:r>
            <w:r w:rsidR="008F3A66" w:rsidRPr="008F3A66">
              <w:t>28</w:t>
            </w:r>
            <w:r w:rsidRPr="008F3A66">
              <w:t>,</w:t>
            </w:r>
            <w:r w:rsidR="008F3A66" w:rsidRPr="008F3A66">
              <w:t>9</w:t>
            </w:r>
            <w:r w:rsidRPr="008F3A66">
              <w:t>%).</w:t>
            </w:r>
          </w:p>
        </w:tc>
      </w:tr>
      <w:tr w:rsidR="008F3A66" w:rsidRPr="007113E9" w:rsidTr="00E0669B">
        <w:trPr>
          <w:trHeight w:val="169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A66" w:rsidRPr="007113E9" w:rsidRDefault="008F3A66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66" w:rsidRPr="008F3A66" w:rsidRDefault="008F3A66" w:rsidP="00E0669B">
            <w:pPr>
              <w:ind w:firstLineChars="100" w:firstLine="240"/>
            </w:pPr>
            <w:r>
              <w:t>3211 – Službena putovanja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A66" w:rsidRPr="008F3A66" w:rsidRDefault="008F3A66" w:rsidP="008F3A66">
            <w:pPr>
              <w:ind w:firstLineChars="100" w:firstLine="240"/>
              <w:jc w:val="right"/>
            </w:pPr>
            <w:r>
              <w:t>5.914,52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66" w:rsidRPr="008F3A66" w:rsidRDefault="008F3A66" w:rsidP="008F3A66">
            <w:pPr>
              <w:ind w:firstLineChars="100" w:firstLine="240"/>
            </w:pPr>
            <w:r>
              <w:t>Povećanje troškova za službena putovanja u odnosu na 2023.godinu za 52,0%</w:t>
            </w:r>
          </w:p>
        </w:tc>
      </w:tr>
      <w:tr w:rsidR="008F3A66" w:rsidRPr="007113E9" w:rsidTr="00E0669B">
        <w:trPr>
          <w:trHeight w:val="169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A66" w:rsidRPr="007113E9" w:rsidRDefault="008F3A66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66" w:rsidRDefault="008F3A66" w:rsidP="00E0669B">
            <w:pPr>
              <w:ind w:firstLineChars="100" w:firstLine="240"/>
            </w:pPr>
            <w:r>
              <w:t>3213 – Stručno usavršavanje zaposlenika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A66" w:rsidRDefault="008F3A66" w:rsidP="008F3A66">
            <w:pPr>
              <w:ind w:firstLineChars="100" w:firstLine="240"/>
              <w:jc w:val="right"/>
            </w:pPr>
            <w:r>
              <w:t>2.362,38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A66" w:rsidRDefault="00BF1087" w:rsidP="008F3A66">
            <w:pPr>
              <w:ind w:firstLineChars="100" w:firstLine="240"/>
            </w:pPr>
            <w:r>
              <w:t>P</w:t>
            </w:r>
            <w:r w:rsidR="002D58B8">
              <w:t xml:space="preserve">ovećanje </w:t>
            </w:r>
            <w:r>
              <w:t>usavršavanja zaposlenika za 59,1 %</w:t>
            </w:r>
          </w:p>
        </w:tc>
      </w:tr>
      <w:tr w:rsidR="008310FF" w:rsidRPr="007113E9" w:rsidTr="00E0669B">
        <w:trPr>
          <w:trHeight w:val="169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FF" w:rsidRPr="007113E9" w:rsidRDefault="008310F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FF" w:rsidRDefault="008310FF" w:rsidP="00E0669B">
            <w:pPr>
              <w:ind w:firstLineChars="100" w:firstLine="240"/>
            </w:pPr>
            <w:r>
              <w:t xml:space="preserve">3221 - Uredski </w:t>
            </w:r>
            <w:proofErr w:type="spellStart"/>
            <w:r>
              <w:t>metarijal</w:t>
            </w:r>
            <w:proofErr w:type="spellEnd"/>
            <w:r>
              <w:t xml:space="preserve"> i ostali materijalni rashod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0FF" w:rsidRDefault="008310FF" w:rsidP="008F3A66">
            <w:pPr>
              <w:ind w:firstLineChars="100" w:firstLine="240"/>
              <w:jc w:val="right"/>
            </w:pPr>
            <w:r>
              <w:t>9.606,51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0FF" w:rsidRDefault="008310FF" w:rsidP="008F3A66">
            <w:pPr>
              <w:ind w:firstLineChars="100" w:firstLine="240"/>
            </w:pPr>
            <w:r>
              <w:t>Povećanje za 59,1% u odnosu na prethodnu godinu</w:t>
            </w:r>
          </w:p>
        </w:tc>
      </w:tr>
      <w:tr w:rsidR="007113E9" w:rsidRPr="007113E9" w:rsidTr="00E0669B">
        <w:trPr>
          <w:trHeight w:val="20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66" w:rsidRPr="00BF1087" w:rsidRDefault="008F3A66" w:rsidP="00E0669B">
            <w:pPr>
              <w:ind w:firstLineChars="100" w:firstLine="240"/>
            </w:pPr>
          </w:p>
          <w:p w:rsidR="003825EF" w:rsidRPr="00BF1087" w:rsidRDefault="003825EF" w:rsidP="00BF1087">
            <w:pPr>
              <w:ind w:firstLineChars="100" w:firstLine="240"/>
            </w:pPr>
            <w:r w:rsidRPr="00BF1087">
              <w:t>322</w:t>
            </w:r>
            <w:r w:rsidR="00BF1087" w:rsidRPr="00BF1087">
              <w:t>4</w:t>
            </w:r>
            <w:r w:rsidRPr="00BF1087">
              <w:t xml:space="preserve"> – Materijal i </w:t>
            </w:r>
            <w:r w:rsidR="00BF1087" w:rsidRPr="00BF1087">
              <w:t>dijelovi za tekuće i investicijsko održavanje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BF1087" w:rsidRDefault="00BF1087" w:rsidP="00BF1087">
            <w:pPr>
              <w:ind w:firstLineChars="100" w:firstLine="240"/>
              <w:jc w:val="right"/>
            </w:pPr>
            <w:r w:rsidRPr="00BF1087">
              <w:t>3.754,43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BF1087" w:rsidRDefault="003825EF" w:rsidP="00BF1087">
            <w:pPr>
              <w:ind w:firstLineChars="100" w:firstLine="240"/>
              <w:rPr>
                <w:highlight w:val="yellow"/>
              </w:rPr>
            </w:pPr>
            <w:r w:rsidRPr="00BF1087">
              <w:t>Po</w:t>
            </w:r>
            <w:r w:rsidR="003E3B01" w:rsidRPr="00BF1087">
              <w:t xml:space="preserve">većanje </w:t>
            </w:r>
            <w:r w:rsidR="00BF1087" w:rsidRPr="00BF1087">
              <w:t xml:space="preserve">145,5 % zbog dotrajalosti većine prostorija školske institucije </w:t>
            </w:r>
          </w:p>
        </w:tc>
      </w:tr>
      <w:tr w:rsidR="008310FF" w:rsidRPr="008310FF" w:rsidTr="00E0669B">
        <w:trPr>
          <w:trHeight w:val="20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8310FF" w:rsidRDefault="003825EF" w:rsidP="00E0669B">
            <w:pPr>
              <w:ind w:firstLineChars="100" w:firstLine="240"/>
            </w:pPr>
            <w:r w:rsidRPr="008310FF">
              <w:t>3225 – Sitni inventar i auto gume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8310FF" w:rsidRDefault="008310FF" w:rsidP="00E0669B">
            <w:pPr>
              <w:ind w:firstLineChars="100" w:firstLine="240"/>
              <w:jc w:val="right"/>
            </w:pPr>
            <w:r w:rsidRPr="008310FF">
              <w:t>439,00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8310FF" w:rsidRDefault="008310FF" w:rsidP="008310FF">
            <w:pPr>
              <w:ind w:firstLineChars="100" w:firstLine="240"/>
            </w:pPr>
            <w:r w:rsidRPr="008310FF">
              <w:t xml:space="preserve">Smanjenje  rashoda za </w:t>
            </w:r>
            <w:r>
              <w:t>64</w:t>
            </w:r>
            <w:r w:rsidR="003825EF" w:rsidRPr="008310FF">
              <w:t>,</w:t>
            </w:r>
            <w:r>
              <w:t>9</w:t>
            </w:r>
            <w:r w:rsidR="003825EF" w:rsidRPr="008310FF">
              <w:t>% jer škola u 202</w:t>
            </w:r>
            <w:r w:rsidRPr="008310FF">
              <w:t>4</w:t>
            </w:r>
            <w:r w:rsidR="003825EF" w:rsidRPr="008310FF">
              <w:t xml:space="preserve">. nije imala potrebu za nabavku istog, </w:t>
            </w:r>
            <w:r w:rsidRPr="008310FF">
              <w:t>odnosno nabavljala je dugotrajnu imovinu</w:t>
            </w:r>
          </w:p>
        </w:tc>
      </w:tr>
      <w:tr w:rsidR="008310FF" w:rsidRPr="008310FF" w:rsidTr="00E0669B">
        <w:trPr>
          <w:trHeight w:val="20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8310FF" w:rsidRDefault="003825EF" w:rsidP="00E0669B">
            <w:pPr>
              <w:ind w:firstLineChars="100" w:firstLine="240"/>
            </w:pPr>
            <w:r w:rsidRPr="008310FF">
              <w:t>3227 – Službena, radna i zaštitna odjeća i obuća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8310FF" w:rsidRDefault="008310FF" w:rsidP="00E0669B">
            <w:pPr>
              <w:ind w:firstLineChars="100" w:firstLine="240"/>
              <w:jc w:val="right"/>
            </w:pPr>
            <w:r w:rsidRPr="008310FF">
              <w:t>42,47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8310FF" w:rsidRDefault="008310FF" w:rsidP="008310FF">
            <w:pPr>
              <w:ind w:firstLineChars="100" w:firstLine="240"/>
            </w:pPr>
            <w:r w:rsidRPr="008310FF">
              <w:t xml:space="preserve">Smanjenje </w:t>
            </w:r>
            <w:r w:rsidR="003825EF" w:rsidRPr="008310FF">
              <w:t xml:space="preserve">rashoda za </w:t>
            </w:r>
            <w:r w:rsidRPr="008310FF">
              <w:t>9</w:t>
            </w:r>
            <w:r w:rsidR="003825EF" w:rsidRPr="008310FF">
              <w:t>2,</w:t>
            </w:r>
            <w:r w:rsidRPr="008310FF">
              <w:t>2</w:t>
            </w:r>
            <w:r w:rsidR="003825EF" w:rsidRPr="008310FF">
              <w:t>% jer je tehničko</w:t>
            </w:r>
            <w:r w:rsidRPr="008310FF">
              <w:t>m</w:t>
            </w:r>
            <w:r w:rsidR="003825EF" w:rsidRPr="008310FF">
              <w:t xml:space="preserve"> osoblj</w:t>
            </w:r>
            <w:r w:rsidRPr="008310FF">
              <w:t>u službena odjeća i obuća kupljena prethodne godine</w:t>
            </w:r>
          </w:p>
        </w:tc>
      </w:tr>
      <w:tr w:rsidR="007113E9" w:rsidRPr="007113E9" w:rsidTr="00E0669B">
        <w:trPr>
          <w:trHeight w:val="169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8310FF" w:rsidRDefault="003825EF" w:rsidP="00E0669B">
            <w:pPr>
              <w:ind w:firstLineChars="100" w:firstLine="240"/>
            </w:pPr>
            <w:r w:rsidRPr="008310FF">
              <w:t>3235 – Zakupnine i najamnine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8310FF" w:rsidRDefault="008310FF" w:rsidP="008310FF">
            <w:pPr>
              <w:ind w:firstLineChars="100" w:firstLine="240"/>
              <w:jc w:val="right"/>
            </w:pPr>
            <w:r w:rsidRPr="008310FF">
              <w:t>2</w:t>
            </w:r>
            <w:r w:rsidR="003825EF" w:rsidRPr="008310FF">
              <w:t>.</w:t>
            </w:r>
            <w:r w:rsidRPr="008310FF">
              <w:t>631</w:t>
            </w:r>
            <w:r w:rsidR="003825EF" w:rsidRPr="008310FF">
              <w:t>,</w:t>
            </w:r>
            <w:r w:rsidRPr="008310FF">
              <w:t>61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8310FF" w:rsidRDefault="008310FF" w:rsidP="008310FF">
            <w:pPr>
              <w:ind w:firstLineChars="100" w:firstLine="240"/>
            </w:pPr>
            <w:r w:rsidRPr="008310FF">
              <w:t>Povećanje</w:t>
            </w:r>
            <w:r w:rsidR="003825EF" w:rsidRPr="008310FF">
              <w:t xml:space="preserve"> za </w:t>
            </w:r>
            <w:r w:rsidRPr="008310FF">
              <w:t>42</w:t>
            </w:r>
            <w:r w:rsidR="003825EF" w:rsidRPr="008310FF">
              <w:t>,</w:t>
            </w:r>
            <w:r w:rsidRPr="008310FF">
              <w:t>1</w:t>
            </w:r>
            <w:r w:rsidR="003825EF" w:rsidRPr="008310FF">
              <w:t>% zbog kupnji licenci u siječnju 2024.</w:t>
            </w:r>
          </w:p>
        </w:tc>
      </w:tr>
      <w:tr w:rsidR="007113E9" w:rsidRPr="007113E9" w:rsidTr="00E0669B">
        <w:trPr>
          <w:trHeight w:val="112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310FF" w:rsidRDefault="003825EF" w:rsidP="00E0669B">
            <w:pPr>
              <w:ind w:firstLineChars="100" w:firstLine="240"/>
            </w:pPr>
            <w:r w:rsidRPr="008310FF">
              <w:t>3239 - Ostale usluge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310FF" w:rsidRDefault="008310FF" w:rsidP="00E0669B">
            <w:pPr>
              <w:ind w:firstLineChars="100" w:firstLine="240"/>
              <w:jc w:val="right"/>
            </w:pPr>
            <w:r w:rsidRPr="008310FF">
              <w:t>1.085,92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310FF" w:rsidRDefault="003825EF" w:rsidP="008310FF">
            <w:pPr>
              <w:rPr>
                <w:highlight w:val="yellow"/>
              </w:rPr>
            </w:pPr>
            <w:r w:rsidRPr="008310FF">
              <w:t>Veće su za 1</w:t>
            </w:r>
            <w:r w:rsidR="008310FF" w:rsidRPr="008310FF">
              <w:t>47</w:t>
            </w:r>
            <w:r w:rsidRPr="008310FF">
              <w:t>,</w:t>
            </w:r>
            <w:r w:rsidR="008310FF" w:rsidRPr="008310FF">
              <w:t>9</w:t>
            </w:r>
            <w:r w:rsidRPr="008310FF">
              <w:t xml:space="preserve">% </w:t>
            </w:r>
            <w:r w:rsidR="008310FF">
              <w:t>zbog troškova prijevoza digitalni inkubator, refundacija troškova učeničke zadruge te usluga čuvanja imovine</w:t>
            </w:r>
            <w:r w:rsidRPr="008310FF">
              <w:t>.</w:t>
            </w:r>
          </w:p>
        </w:tc>
      </w:tr>
      <w:tr w:rsidR="007113E9" w:rsidRPr="007113E9" w:rsidTr="00E0669B">
        <w:trPr>
          <w:trHeight w:val="12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16F1F" w:rsidRDefault="003825EF" w:rsidP="008310FF">
            <w:pPr>
              <w:ind w:firstLineChars="100" w:firstLine="240"/>
            </w:pPr>
            <w:r w:rsidRPr="00316F1F">
              <w:t>329</w:t>
            </w:r>
            <w:r w:rsidR="008310FF" w:rsidRPr="00316F1F">
              <w:t>5</w:t>
            </w:r>
            <w:r w:rsidRPr="00316F1F">
              <w:t xml:space="preserve"> – </w:t>
            </w:r>
            <w:r w:rsidR="008310FF" w:rsidRPr="00316F1F">
              <w:t>Pristojbe i naknade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316F1F" w:rsidRDefault="008310FF" w:rsidP="00E0669B">
            <w:pPr>
              <w:ind w:firstLineChars="100" w:firstLine="240"/>
              <w:jc w:val="right"/>
            </w:pPr>
            <w:r w:rsidRPr="00316F1F">
              <w:t>3.741,36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7113E9" w:rsidRDefault="003825EF" w:rsidP="00316F1F">
            <w:pPr>
              <w:rPr>
                <w:color w:val="FF0000"/>
              </w:rPr>
            </w:pPr>
            <w:r w:rsidRPr="00316F1F">
              <w:t xml:space="preserve">Povećanje za </w:t>
            </w:r>
            <w:r w:rsidR="00316F1F" w:rsidRPr="00316F1F">
              <w:t>16</w:t>
            </w:r>
            <w:r w:rsidRPr="00316F1F">
              <w:t>,</w:t>
            </w:r>
            <w:r w:rsidR="00316F1F" w:rsidRPr="00316F1F">
              <w:t>6</w:t>
            </w:r>
            <w:r w:rsidRPr="00316F1F">
              <w:t>% u odnosu na 202</w:t>
            </w:r>
            <w:r w:rsidR="00316F1F" w:rsidRPr="00316F1F">
              <w:t xml:space="preserve">3.godinu </w:t>
            </w:r>
          </w:p>
        </w:tc>
      </w:tr>
      <w:tr w:rsidR="007113E9" w:rsidRPr="007113E9" w:rsidTr="00E0669B">
        <w:trPr>
          <w:trHeight w:val="168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EC2ECF" w:rsidRDefault="003825EF" w:rsidP="00316F1F">
            <w:pPr>
              <w:ind w:firstLineChars="100" w:firstLine="240"/>
            </w:pPr>
            <w:r w:rsidRPr="00EC2ECF">
              <w:t>3</w:t>
            </w:r>
            <w:r w:rsidR="00316F1F" w:rsidRPr="00EC2ECF">
              <w:t>433</w:t>
            </w:r>
            <w:r w:rsidRPr="00EC2ECF">
              <w:t xml:space="preserve"> – </w:t>
            </w:r>
            <w:r w:rsidR="00316F1F" w:rsidRPr="00EC2ECF">
              <w:t>Zatezne kamate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EC2ECF" w:rsidRDefault="00316F1F" w:rsidP="00E0669B">
            <w:pPr>
              <w:ind w:firstLineChars="100" w:firstLine="240"/>
              <w:jc w:val="right"/>
            </w:pPr>
            <w:r w:rsidRPr="00EC2ECF">
              <w:t>115,06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EC2ECF" w:rsidRDefault="00316F1F" w:rsidP="00E0669B">
            <w:pPr>
              <w:rPr>
                <w:highlight w:val="yellow"/>
              </w:rPr>
            </w:pPr>
            <w:r w:rsidRPr="00EC2ECF">
              <w:t xml:space="preserve">Smanjenje od 98,6% u odnosu na prethodnu godinu kada su </w:t>
            </w:r>
            <w:r w:rsidR="00EC2ECF" w:rsidRPr="00EC2ECF">
              <w:t>isplaćivane plaće po sudskim presudama</w:t>
            </w:r>
            <w:r w:rsidRPr="00EC2ECF">
              <w:t xml:space="preserve"> </w:t>
            </w:r>
            <w:r w:rsidR="003825EF" w:rsidRPr="00EC2ECF">
              <w:t xml:space="preserve"> </w:t>
            </w:r>
          </w:p>
        </w:tc>
      </w:tr>
      <w:tr w:rsidR="007113E9" w:rsidRPr="007113E9" w:rsidTr="00E0669B">
        <w:trPr>
          <w:trHeight w:val="11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EC2ECF" w:rsidRDefault="003825EF" w:rsidP="00E0669B">
            <w:pPr>
              <w:ind w:firstLineChars="100" w:firstLine="240"/>
            </w:pPr>
            <w:r w:rsidRPr="00EC2ECF">
              <w:t>3722 - Naknade građanima i kućanstvima u naravi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EC2ECF" w:rsidRDefault="003825EF" w:rsidP="00EC2ECF">
            <w:pPr>
              <w:ind w:firstLineChars="100" w:firstLine="240"/>
              <w:jc w:val="right"/>
            </w:pPr>
            <w:r w:rsidRPr="00EC2ECF">
              <w:t>3</w:t>
            </w:r>
            <w:r w:rsidR="00EC2ECF" w:rsidRPr="00EC2ECF">
              <w:t>3</w:t>
            </w:r>
            <w:r w:rsidRPr="00EC2ECF">
              <w:t>.</w:t>
            </w:r>
            <w:r w:rsidR="00EC2ECF" w:rsidRPr="00EC2ECF">
              <w:t>313</w:t>
            </w:r>
            <w:r w:rsidRPr="00EC2ECF">
              <w:t>,</w:t>
            </w:r>
            <w:r w:rsidR="00EC2ECF" w:rsidRPr="00EC2ECF">
              <w:t>88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EC2ECF" w:rsidRDefault="003825EF" w:rsidP="00EC2ECF">
            <w:r w:rsidRPr="00EC2ECF">
              <w:t>P</w:t>
            </w:r>
            <w:r w:rsidR="00EC2ECF" w:rsidRPr="00EC2ECF">
              <w:t>ovećane su za 5</w:t>
            </w:r>
            <w:r w:rsidRPr="00EC2ECF">
              <w:t>,</w:t>
            </w:r>
            <w:r w:rsidR="00EC2ECF" w:rsidRPr="00EC2ECF">
              <w:t>2</w:t>
            </w:r>
            <w:r w:rsidRPr="00EC2ECF">
              <w:t>% zbog nabave radnih materijala za djecu koje financira MZO.</w:t>
            </w:r>
          </w:p>
        </w:tc>
      </w:tr>
      <w:tr w:rsidR="007113E9" w:rsidRPr="007113E9" w:rsidTr="00E0669B">
        <w:trPr>
          <w:trHeight w:val="11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EC2ECF" w:rsidRDefault="003825EF" w:rsidP="00E0669B">
            <w:pPr>
              <w:ind w:firstLineChars="100" w:firstLine="240"/>
            </w:pPr>
            <w:r w:rsidRPr="00EC2ECF">
              <w:t>3812 – Tekuće donacije u naravi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EC2ECF" w:rsidRDefault="003825EF" w:rsidP="00EC2ECF">
            <w:pPr>
              <w:ind w:firstLineChars="100" w:firstLine="240"/>
              <w:jc w:val="right"/>
            </w:pPr>
            <w:r w:rsidRPr="00EC2ECF">
              <w:t>8</w:t>
            </w:r>
            <w:r w:rsidR="00EC2ECF" w:rsidRPr="00EC2ECF">
              <w:t>73</w:t>
            </w:r>
            <w:r w:rsidRPr="00EC2ECF">
              <w:t>,</w:t>
            </w:r>
            <w:r w:rsidR="00EC2ECF" w:rsidRPr="00EC2ECF">
              <w:t>43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EC2ECF" w:rsidRDefault="003825EF" w:rsidP="00E0669B">
            <w:r w:rsidRPr="00EC2ECF">
              <w:t>Donacija za nabavu higijenskih uložaka financirano od strane PGŽ</w:t>
            </w:r>
          </w:p>
        </w:tc>
      </w:tr>
      <w:tr w:rsidR="007113E9" w:rsidRPr="007113E9" w:rsidTr="00E0669B">
        <w:trPr>
          <w:trHeight w:val="200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385444" w:rsidRDefault="003825EF" w:rsidP="00E0669B">
            <w:pPr>
              <w:ind w:firstLineChars="100" w:firstLine="240"/>
            </w:pPr>
            <w:r w:rsidRPr="00385444">
              <w:t>Manjak prihoda poslovanja-preneseni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385444" w:rsidRDefault="00EC2ECF" w:rsidP="00E0669B">
            <w:pPr>
              <w:ind w:firstLineChars="100" w:firstLine="240"/>
              <w:jc w:val="right"/>
            </w:pPr>
            <w:r w:rsidRPr="00385444">
              <w:t>20.090,07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385444" w:rsidRDefault="003825EF" w:rsidP="00EC2ECF">
            <w:r w:rsidRPr="00385444">
              <w:t xml:space="preserve">Manjak prihoda poslovanja jer je po projektu </w:t>
            </w:r>
            <w:proofErr w:type="spellStart"/>
            <w:r w:rsidRPr="00385444">
              <w:t>Erasmus</w:t>
            </w:r>
            <w:proofErr w:type="spellEnd"/>
            <w:r w:rsidRPr="00385444">
              <w:t xml:space="preserve"> potrošeno </w:t>
            </w:r>
            <w:r w:rsidR="00EC2ECF" w:rsidRPr="00385444">
              <w:t>više novaca nego je Škola imala te kao posljedica nabave nefinancijske imovine u iznosu 12.393,05 eura</w:t>
            </w:r>
            <w:r w:rsidRPr="00385444">
              <w:t>.</w:t>
            </w:r>
          </w:p>
        </w:tc>
      </w:tr>
      <w:tr w:rsidR="007113E9" w:rsidRPr="007113E9" w:rsidTr="00E0669B">
        <w:trPr>
          <w:trHeight w:val="154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13825" w:rsidRDefault="003825EF" w:rsidP="00E0669B">
            <w:pPr>
              <w:ind w:firstLineChars="100" w:firstLine="240"/>
            </w:pPr>
            <w:r w:rsidRPr="00813825">
              <w:t xml:space="preserve">422 – Postrojenja i oprema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13825" w:rsidRDefault="00813825" w:rsidP="00E0669B">
            <w:pPr>
              <w:ind w:firstLineChars="100" w:firstLine="240"/>
              <w:jc w:val="right"/>
            </w:pPr>
            <w:r w:rsidRPr="00813825">
              <w:t>992,00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13825" w:rsidRDefault="00813825" w:rsidP="00813825">
            <w:pPr>
              <w:ind w:firstLineChars="100" w:firstLine="240"/>
              <w:rPr>
                <w:highlight w:val="yellow"/>
              </w:rPr>
            </w:pPr>
            <w:r w:rsidRPr="00813825">
              <w:t>Smanjenje</w:t>
            </w:r>
            <w:r w:rsidR="003825EF" w:rsidRPr="00813825">
              <w:t xml:space="preserve"> rashoda za </w:t>
            </w:r>
            <w:r w:rsidRPr="00813825">
              <w:t>90</w:t>
            </w:r>
            <w:r w:rsidR="003825EF" w:rsidRPr="00813825">
              <w:t xml:space="preserve">,0% jer je školi </w:t>
            </w:r>
            <w:r w:rsidRPr="00813825">
              <w:t>prošle</w:t>
            </w:r>
            <w:r w:rsidR="003825EF" w:rsidRPr="00813825">
              <w:t xml:space="preserve"> godine dodijeljeno 10.000,00  </w:t>
            </w:r>
            <w:r w:rsidRPr="00813825">
              <w:t>eura za kupnju kapitalne opreme a ove godine nije</w:t>
            </w:r>
          </w:p>
        </w:tc>
      </w:tr>
      <w:tr w:rsidR="00813825" w:rsidRPr="007113E9" w:rsidTr="00E0669B">
        <w:trPr>
          <w:trHeight w:val="154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25" w:rsidRPr="007113E9" w:rsidRDefault="00813825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25" w:rsidRPr="00813825" w:rsidRDefault="00813825" w:rsidP="00E0669B">
            <w:pPr>
              <w:ind w:firstLineChars="100" w:firstLine="240"/>
            </w:pPr>
            <w:r>
              <w:t xml:space="preserve">4227 – </w:t>
            </w:r>
            <w:proofErr w:type="spellStart"/>
            <w:r>
              <w:t>Uređaji,strojevi</w:t>
            </w:r>
            <w:proofErr w:type="spellEnd"/>
            <w:r>
              <w:t xml:space="preserve"> i oprema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25" w:rsidRPr="00813825" w:rsidRDefault="00813825" w:rsidP="00E0669B">
            <w:pPr>
              <w:ind w:firstLineChars="100" w:firstLine="240"/>
              <w:jc w:val="right"/>
            </w:pPr>
            <w:r>
              <w:t>1.348,13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25" w:rsidRPr="00813825" w:rsidRDefault="00813825" w:rsidP="00813825">
            <w:pPr>
              <w:ind w:firstLineChars="100" w:firstLine="240"/>
            </w:pPr>
            <w:r>
              <w:t xml:space="preserve">U 2023.godini nije ništa nabavljeno od </w:t>
            </w:r>
            <w:proofErr w:type="spellStart"/>
            <w:r>
              <w:t>uređaja,strojeva</w:t>
            </w:r>
            <w:proofErr w:type="spellEnd"/>
            <w:r>
              <w:t xml:space="preserve"> i opreme</w:t>
            </w:r>
          </w:p>
        </w:tc>
      </w:tr>
      <w:tr w:rsidR="007113E9" w:rsidRPr="007113E9" w:rsidTr="00E0669B">
        <w:trPr>
          <w:trHeight w:val="155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13825" w:rsidRDefault="003825EF" w:rsidP="00E0669B">
            <w:pPr>
              <w:ind w:firstLineChars="100" w:firstLine="240"/>
            </w:pPr>
            <w:r w:rsidRPr="00813825">
              <w:t>4241 - Knjige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13825" w:rsidRDefault="00813825" w:rsidP="00813825">
            <w:pPr>
              <w:ind w:firstLineChars="100" w:firstLine="240"/>
              <w:jc w:val="right"/>
            </w:pPr>
            <w:r w:rsidRPr="00813825">
              <w:t>1</w:t>
            </w:r>
            <w:r w:rsidR="003825EF" w:rsidRPr="00813825">
              <w:t>.</w:t>
            </w:r>
            <w:r w:rsidRPr="00813825">
              <w:t>703,13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13825" w:rsidRDefault="00813825" w:rsidP="00813825">
            <w:pPr>
              <w:ind w:firstLineChars="100" w:firstLine="240"/>
            </w:pPr>
            <w:r w:rsidRPr="00813825">
              <w:t>Smanjeni</w:t>
            </w:r>
            <w:r w:rsidR="003825EF" w:rsidRPr="00813825">
              <w:t xml:space="preserve"> su rashodi za </w:t>
            </w:r>
            <w:r w:rsidRPr="00813825">
              <w:t>32</w:t>
            </w:r>
            <w:r w:rsidR="003825EF" w:rsidRPr="00813825">
              <w:t>,</w:t>
            </w:r>
            <w:r w:rsidRPr="00813825">
              <w:t>2</w:t>
            </w:r>
            <w:r w:rsidR="003825EF" w:rsidRPr="00813825">
              <w:t xml:space="preserve">% zbog nešto </w:t>
            </w:r>
            <w:r w:rsidRPr="00813825">
              <w:t>manjeg</w:t>
            </w:r>
            <w:r w:rsidR="003825EF" w:rsidRPr="00813825">
              <w:t xml:space="preserve"> broja djece u odnosu na 202</w:t>
            </w:r>
            <w:r w:rsidRPr="00813825">
              <w:t>3</w:t>
            </w:r>
            <w:r w:rsidR="003825EF" w:rsidRPr="00813825">
              <w:t>.godinu</w:t>
            </w:r>
          </w:p>
        </w:tc>
      </w:tr>
      <w:tr w:rsidR="007113E9" w:rsidRPr="007113E9" w:rsidTr="00E0669B">
        <w:trPr>
          <w:trHeight w:val="1688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13825" w:rsidRDefault="003825EF" w:rsidP="00E0669B">
            <w:pPr>
              <w:ind w:firstLineChars="100" w:firstLine="240"/>
            </w:pPr>
            <w:r w:rsidRPr="00813825">
              <w:t>11 – stanje novčanih sredstava na kraju izvještajnog razdoblja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813825" w:rsidRDefault="003825EF" w:rsidP="00813825">
            <w:pPr>
              <w:ind w:firstLineChars="100" w:firstLine="240"/>
              <w:jc w:val="right"/>
            </w:pPr>
            <w:r w:rsidRPr="00813825">
              <w:t>1.6</w:t>
            </w:r>
            <w:r w:rsidR="00813825" w:rsidRPr="00813825">
              <w:t>72</w:t>
            </w:r>
            <w:r w:rsidRPr="00813825">
              <w:t>,62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813825" w:rsidRDefault="003825EF" w:rsidP="00813825">
            <w:pPr>
              <w:ind w:firstLineChars="100" w:firstLine="240"/>
            </w:pPr>
            <w:r w:rsidRPr="00813825">
              <w:t xml:space="preserve">Priljevi su </w:t>
            </w:r>
            <w:r w:rsidR="00813825" w:rsidRPr="00813825">
              <w:t>smanjeni za trošak naknade banke 12/24 za koji još nije stigao prihod</w:t>
            </w:r>
          </w:p>
        </w:tc>
      </w:tr>
      <w:tr w:rsidR="007113E9" w:rsidRPr="007113E9" w:rsidTr="00E0669B">
        <w:trPr>
          <w:trHeight w:val="1401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790B94" w:rsidRDefault="003825EF" w:rsidP="00E0669B">
            <w:pPr>
              <w:ind w:firstLineChars="100" w:firstLine="240"/>
            </w:pPr>
            <w:r w:rsidRPr="00790B94">
              <w:t>63612 – Tekuće pomoći iz državnog proračuna proračunskim korisnicima proračuna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90B94" w:rsidRDefault="003825EF" w:rsidP="00790B94">
            <w:pPr>
              <w:ind w:firstLineChars="100" w:firstLine="240"/>
              <w:jc w:val="right"/>
            </w:pPr>
            <w:r w:rsidRPr="00790B94">
              <w:t>1.</w:t>
            </w:r>
            <w:r w:rsidR="00790B94" w:rsidRPr="00790B94">
              <w:t>342.372,66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790B94" w:rsidRDefault="003825EF" w:rsidP="00790B94">
            <w:pPr>
              <w:ind w:firstLineChars="100" w:firstLine="240"/>
            </w:pPr>
            <w:r w:rsidRPr="00790B94">
              <w:t xml:space="preserve">Povećani su za </w:t>
            </w:r>
            <w:r w:rsidR="00790B94" w:rsidRPr="00790B94">
              <w:t>20</w:t>
            </w:r>
            <w:r w:rsidRPr="00790B94">
              <w:t>,</w:t>
            </w:r>
            <w:r w:rsidR="00790B94" w:rsidRPr="00790B94">
              <w:t xml:space="preserve">9% </w:t>
            </w:r>
            <w:r w:rsidRPr="00790B94">
              <w:t xml:space="preserve">zbog povećanja bruto plaća za zaposlenike </w:t>
            </w:r>
          </w:p>
        </w:tc>
      </w:tr>
      <w:tr w:rsidR="007113E9" w:rsidRPr="007113E9" w:rsidTr="00E0669B">
        <w:trPr>
          <w:trHeight w:val="1401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790B94" w:rsidRDefault="003825EF" w:rsidP="00E0669B">
            <w:pPr>
              <w:ind w:firstLineChars="100" w:firstLine="240"/>
            </w:pPr>
            <w:r w:rsidRPr="00790B94">
              <w:t>63613 – Tekuće pomoći proračunskim korisnicima iz proračuna JPL(R)S koji im nije nadležan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90B94" w:rsidRDefault="00790B94" w:rsidP="00E0669B">
            <w:pPr>
              <w:ind w:firstLineChars="100" w:firstLine="240"/>
              <w:jc w:val="right"/>
            </w:pPr>
            <w:r w:rsidRPr="00790B94">
              <w:t>631,17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790B94" w:rsidRDefault="00790B94" w:rsidP="00790B94">
            <w:pPr>
              <w:ind w:firstLineChars="100" w:firstLine="240"/>
            </w:pPr>
            <w:r w:rsidRPr="00790B94">
              <w:t xml:space="preserve">Smanjenje </w:t>
            </w:r>
            <w:r w:rsidR="003825EF" w:rsidRPr="00790B94">
              <w:t xml:space="preserve"> za </w:t>
            </w:r>
            <w:r w:rsidRPr="00790B94">
              <w:t>54</w:t>
            </w:r>
            <w:r w:rsidR="003825EF" w:rsidRPr="00790B94">
              <w:t>,</w:t>
            </w:r>
            <w:r w:rsidRPr="00790B94">
              <w:t>4</w:t>
            </w:r>
            <w:r w:rsidR="003825EF" w:rsidRPr="00790B94">
              <w:t xml:space="preserve">% </w:t>
            </w:r>
            <w:r w:rsidRPr="00790B94">
              <w:t xml:space="preserve">u odnosu na 2023.godinu. </w:t>
            </w:r>
          </w:p>
        </w:tc>
      </w:tr>
      <w:tr w:rsidR="007113E9" w:rsidRPr="007113E9" w:rsidTr="00E0669B">
        <w:trPr>
          <w:trHeight w:val="168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790B94" w:rsidRDefault="003825EF" w:rsidP="00E0669B">
            <w:pPr>
              <w:ind w:firstLineChars="100" w:firstLine="240"/>
            </w:pPr>
            <w:r w:rsidRPr="00790B94">
              <w:t>63622 – Kapitalne pomoći iz državnog proračuna proračunskim korisnicima proračuna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90B94" w:rsidRDefault="00790B94" w:rsidP="00E0669B">
            <w:pPr>
              <w:ind w:firstLineChars="100" w:firstLine="240"/>
              <w:jc w:val="right"/>
            </w:pPr>
            <w:r w:rsidRPr="00790B94">
              <w:t>740,00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790B94" w:rsidRDefault="00790B94" w:rsidP="00790B94">
            <w:pPr>
              <w:ind w:firstLineChars="100" w:firstLine="240"/>
            </w:pPr>
            <w:r>
              <w:t>Odnosi se na nabavu lektire za knjižnicu</w:t>
            </w:r>
          </w:p>
        </w:tc>
      </w:tr>
      <w:tr w:rsidR="007113E9" w:rsidRPr="007113E9" w:rsidTr="00E0669B">
        <w:trPr>
          <w:trHeight w:val="168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C3E97" w:rsidRDefault="003825EF" w:rsidP="00E0669B">
            <w:pPr>
              <w:ind w:firstLineChars="100" w:firstLine="240"/>
            </w:pPr>
            <w:r w:rsidRPr="003C3E97">
              <w:t>65264 - Sufinanciranje cijene usluge, participacije i slično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3C3E97" w:rsidRDefault="003C3E97" w:rsidP="00E0669B">
            <w:pPr>
              <w:ind w:firstLineChars="100" w:firstLine="240"/>
              <w:jc w:val="right"/>
            </w:pPr>
            <w:r w:rsidRPr="003C3E97">
              <w:t>90.112,63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C3E97" w:rsidRDefault="003825EF" w:rsidP="003C3E97">
            <w:pPr>
              <w:ind w:firstLineChars="100" w:firstLine="240"/>
            </w:pPr>
            <w:r w:rsidRPr="003C3E97">
              <w:t xml:space="preserve">Prihodi su </w:t>
            </w:r>
            <w:r w:rsidR="003C3E97" w:rsidRPr="003C3E97">
              <w:t>uvećani</w:t>
            </w:r>
            <w:r w:rsidRPr="003C3E97">
              <w:t xml:space="preserve"> za </w:t>
            </w:r>
            <w:r w:rsidR="003C3E97" w:rsidRPr="003C3E97">
              <w:t>17</w:t>
            </w:r>
            <w:r w:rsidRPr="003C3E97">
              <w:t>,</w:t>
            </w:r>
            <w:r w:rsidR="003C3E97" w:rsidRPr="003C3E97">
              <w:t>7</w:t>
            </w:r>
            <w:r w:rsidRPr="003C3E97">
              <w:t xml:space="preserve">% zbog </w:t>
            </w:r>
            <w:r w:rsidR="003C3E97" w:rsidRPr="003C3E97">
              <w:t>naplate zaostalih računa</w:t>
            </w:r>
          </w:p>
        </w:tc>
      </w:tr>
      <w:tr w:rsidR="007113E9" w:rsidRPr="007113E9" w:rsidTr="00E0669B">
        <w:trPr>
          <w:trHeight w:val="155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C3E97" w:rsidRDefault="003825EF" w:rsidP="00E0669B">
            <w:pPr>
              <w:ind w:firstLineChars="100" w:firstLine="240"/>
            </w:pPr>
            <w:r w:rsidRPr="003C3E97">
              <w:t>32121 – Naknade za prijevoz na posao i s posla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EF" w:rsidRPr="003C3E97" w:rsidRDefault="003C3E97" w:rsidP="00E0669B">
            <w:pPr>
              <w:ind w:firstLineChars="100" w:firstLine="240"/>
              <w:jc w:val="right"/>
            </w:pPr>
            <w:r w:rsidRPr="003C3E97">
              <w:t>30.006,68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EF" w:rsidRPr="003C3E97" w:rsidRDefault="003825EF" w:rsidP="003C3E97">
            <w:pPr>
              <w:ind w:firstLineChars="100" w:firstLine="240"/>
            </w:pPr>
            <w:r w:rsidRPr="003C3E97">
              <w:t xml:space="preserve">Povećanje za </w:t>
            </w:r>
            <w:r w:rsidR="003C3E97" w:rsidRPr="003C3E97">
              <w:t>14</w:t>
            </w:r>
            <w:r w:rsidRPr="003C3E97">
              <w:t xml:space="preserve">,3% zbog isplate </w:t>
            </w:r>
            <w:r w:rsidR="003C3E97" w:rsidRPr="003C3E97">
              <w:t>većih putnih troškova – veći broj zaposlenika</w:t>
            </w:r>
          </w:p>
        </w:tc>
      </w:tr>
      <w:tr w:rsidR="007113E9" w:rsidRPr="007113E9" w:rsidTr="00E0669B">
        <w:trPr>
          <w:trHeight w:val="154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7113E9" w:rsidRDefault="003825EF" w:rsidP="00E0669B">
            <w:pPr>
              <w:ind w:firstLineChars="100" w:firstLine="200"/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3C3E97" w:rsidRDefault="003825EF" w:rsidP="00E0669B">
            <w:pPr>
              <w:ind w:firstLineChars="100" w:firstLine="240"/>
            </w:pPr>
            <w:r w:rsidRPr="003C3E97">
              <w:t>32372 – Ugovori o djelu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5EF" w:rsidRPr="003C3E97" w:rsidRDefault="003825EF" w:rsidP="003C3E97">
            <w:pPr>
              <w:ind w:firstLineChars="100" w:firstLine="240"/>
              <w:jc w:val="right"/>
            </w:pPr>
            <w:r w:rsidRPr="003C3E97">
              <w:t>2.</w:t>
            </w:r>
            <w:r w:rsidR="003C3E97" w:rsidRPr="003C3E97">
              <w:t>141,31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5EF" w:rsidRPr="003C3E97" w:rsidRDefault="003825EF" w:rsidP="00E0669B">
            <w:pPr>
              <w:ind w:firstLineChars="100" w:firstLine="240"/>
              <w:rPr>
                <w:highlight w:val="yellow"/>
              </w:rPr>
            </w:pPr>
            <w:r w:rsidRPr="003C3E97">
              <w:t>Škola je zadržala rashode na prošlogodišnjoj razini, Stručni ispiti, Županijsko natjecanje te potreba za kadrom tajnika</w:t>
            </w:r>
          </w:p>
        </w:tc>
      </w:tr>
    </w:tbl>
    <w:p w:rsidR="003825EF" w:rsidRPr="007113E9" w:rsidRDefault="003825EF" w:rsidP="003C3E97">
      <w:pPr>
        <w:rPr>
          <w:b/>
          <w:color w:val="FF0000"/>
          <w:sz w:val="32"/>
          <w:szCs w:val="32"/>
        </w:rPr>
      </w:pPr>
    </w:p>
    <w:p w:rsidR="003825EF" w:rsidRPr="00385444" w:rsidRDefault="003825EF" w:rsidP="003825EF">
      <w:pPr>
        <w:jc w:val="center"/>
        <w:rPr>
          <w:b/>
          <w:sz w:val="32"/>
          <w:szCs w:val="32"/>
        </w:rPr>
      </w:pPr>
      <w:r w:rsidRPr="00385444">
        <w:rPr>
          <w:b/>
          <w:sz w:val="32"/>
          <w:szCs w:val="32"/>
        </w:rPr>
        <w:t>Bilješke uz obrazac BILANCA</w:t>
      </w:r>
    </w:p>
    <w:p w:rsidR="003825EF" w:rsidRPr="007113E9" w:rsidRDefault="003825EF" w:rsidP="003825EF">
      <w:pPr>
        <w:jc w:val="center"/>
        <w:rPr>
          <w:b/>
          <w:color w:val="FF0000"/>
          <w:sz w:val="32"/>
          <w:szCs w:val="32"/>
        </w:rPr>
      </w:pPr>
    </w:p>
    <w:p w:rsidR="003825EF" w:rsidRPr="007113E9" w:rsidRDefault="003825EF" w:rsidP="003825EF">
      <w:pPr>
        <w:jc w:val="center"/>
        <w:rPr>
          <w:b/>
          <w:color w:val="FF0000"/>
          <w:sz w:val="32"/>
          <w:szCs w:val="32"/>
        </w:rPr>
      </w:pPr>
    </w:p>
    <w:p w:rsidR="003825EF" w:rsidRPr="00385444" w:rsidRDefault="003825EF" w:rsidP="003825EF">
      <w:pPr>
        <w:spacing w:line="360" w:lineRule="auto"/>
        <w:jc w:val="both"/>
      </w:pPr>
      <w:r w:rsidRPr="00385444">
        <w:t>Na dan 31.12.202</w:t>
      </w:r>
      <w:r w:rsidR="00385444" w:rsidRPr="00385444">
        <w:t>4</w:t>
      </w:r>
      <w:r w:rsidRPr="00385444">
        <w:t>. godine stanje nefinancijske imovine iznosi 2</w:t>
      </w:r>
      <w:r w:rsidR="00385444" w:rsidRPr="00385444">
        <w:t>35</w:t>
      </w:r>
      <w:r w:rsidRPr="00385444">
        <w:t>.</w:t>
      </w:r>
      <w:r w:rsidR="00385444" w:rsidRPr="00385444">
        <w:t>030</w:t>
      </w:r>
      <w:r w:rsidRPr="00385444">
        <w:t>,</w:t>
      </w:r>
      <w:r w:rsidR="00385444" w:rsidRPr="00385444">
        <w:t>39</w:t>
      </w:r>
      <w:r w:rsidRPr="00385444">
        <w:t xml:space="preserve"> eura, te se ona neznatno </w:t>
      </w:r>
      <w:r w:rsidR="00385444" w:rsidRPr="00385444">
        <w:t>povećala</w:t>
      </w:r>
      <w:r w:rsidRPr="00385444">
        <w:t xml:space="preserve"> u odnosu na stanje 01.01.202</w:t>
      </w:r>
      <w:r w:rsidR="00385444" w:rsidRPr="00385444">
        <w:t>4</w:t>
      </w:r>
      <w:r w:rsidRPr="00385444">
        <w:t xml:space="preserve">. godine. Izvršen je ispravak vrijednosti građevinskih objekata, postrojenja i opreme i rashod opreme i sitnog inventara. 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Default="003825EF" w:rsidP="003825EF">
      <w:pPr>
        <w:spacing w:line="360" w:lineRule="auto"/>
        <w:jc w:val="both"/>
      </w:pPr>
      <w:r w:rsidRPr="00435C9F">
        <w:rPr>
          <w:b/>
          <w:i/>
        </w:rPr>
        <w:t xml:space="preserve">02 </w:t>
      </w:r>
      <w:r w:rsidRPr="00435C9F">
        <w:t>- Proizvedena dugotrajna imovina se u odnosu na 01.01.202</w:t>
      </w:r>
      <w:r w:rsidR="00385444" w:rsidRPr="00435C9F">
        <w:t>4</w:t>
      </w:r>
      <w:r w:rsidRPr="00435C9F">
        <w:t xml:space="preserve">. </w:t>
      </w:r>
      <w:r w:rsidR="00385444" w:rsidRPr="00435C9F">
        <w:t>povećala</w:t>
      </w:r>
      <w:r w:rsidRPr="00435C9F">
        <w:t xml:space="preserve"> za </w:t>
      </w:r>
      <w:r w:rsidR="00385444" w:rsidRPr="00435C9F">
        <w:t>5</w:t>
      </w:r>
      <w:r w:rsidRPr="00435C9F">
        <w:t>,</w:t>
      </w:r>
      <w:r w:rsidR="00385444" w:rsidRPr="00435C9F">
        <w:t>5</w:t>
      </w:r>
      <w:r w:rsidRPr="00435C9F">
        <w:t>% jer je kroz 202</w:t>
      </w:r>
      <w:r w:rsidR="00385444" w:rsidRPr="00435C9F">
        <w:t>4</w:t>
      </w:r>
      <w:r w:rsidRPr="00435C9F">
        <w:t xml:space="preserve">. nabavljeno </w:t>
      </w:r>
      <w:proofErr w:type="spellStart"/>
      <w:r w:rsidR="00385444" w:rsidRPr="00435C9F">
        <w:t>vše</w:t>
      </w:r>
      <w:proofErr w:type="spellEnd"/>
      <w:r w:rsidR="00385444" w:rsidRPr="00435C9F">
        <w:t xml:space="preserve"> dugotrajne imovine.</w:t>
      </w:r>
    </w:p>
    <w:p w:rsidR="003227E9" w:rsidRDefault="003227E9" w:rsidP="003825EF">
      <w:pPr>
        <w:spacing w:line="360" w:lineRule="auto"/>
        <w:jc w:val="both"/>
      </w:pPr>
    </w:p>
    <w:p w:rsidR="003227E9" w:rsidRDefault="003227E9" w:rsidP="003825EF">
      <w:pPr>
        <w:spacing w:line="360" w:lineRule="auto"/>
        <w:jc w:val="both"/>
      </w:pPr>
      <w:r>
        <w:t>0221 - Uredska oprema i namještaj – povećanje za 26,7%, nabavljena nova imovina u 2024.godini</w:t>
      </w:r>
    </w:p>
    <w:p w:rsidR="003227E9" w:rsidRDefault="003227E9" w:rsidP="003825EF">
      <w:pPr>
        <w:spacing w:line="360" w:lineRule="auto"/>
        <w:jc w:val="both"/>
      </w:pPr>
    </w:p>
    <w:p w:rsidR="003227E9" w:rsidRPr="00435C9F" w:rsidRDefault="003227E9" w:rsidP="003825EF">
      <w:pPr>
        <w:spacing w:line="360" w:lineRule="auto"/>
        <w:jc w:val="both"/>
      </w:pPr>
      <w:r>
        <w:t>0222 - Komunikacijska oprema – smanjenje imovine zbog rashodovanja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3227E9" w:rsidRDefault="003825EF" w:rsidP="003825EF">
      <w:pPr>
        <w:spacing w:line="360" w:lineRule="auto"/>
        <w:jc w:val="both"/>
      </w:pPr>
      <w:r w:rsidRPr="003227E9">
        <w:rPr>
          <w:i/>
        </w:rPr>
        <w:t>0223 –</w:t>
      </w:r>
      <w:r w:rsidRPr="003227E9">
        <w:t xml:space="preserve"> </w:t>
      </w:r>
      <w:r w:rsidR="003227E9" w:rsidRPr="003227E9">
        <w:t xml:space="preserve">Oprema za održavanje i zaštitu - </w:t>
      </w:r>
      <w:r w:rsidRPr="003227E9">
        <w:t>nema promjene u odnosu na prošlu godinu</w:t>
      </w:r>
    </w:p>
    <w:p w:rsidR="003825EF" w:rsidRPr="003227E9" w:rsidRDefault="003825EF" w:rsidP="003825EF">
      <w:pPr>
        <w:spacing w:line="360" w:lineRule="auto"/>
        <w:jc w:val="both"/>
        <w:rPr>
          <w:color w:val="FF0000"/>
        </w:rPr>
      </w:pPr>
    </w:p>
    <w:p w:rsidR="003825EF" w:rsidRDefault="003825EF" w:rsidP="003825EF">
      <w:pPr>
        <w:spacing w:line="360" w:lineRule="auto"/>
        <w:jc w:val="both"/>
      </w:pPr>
      <w:r w:rsidRPr="003227E9">
        <w:rPr>
          <w:i/>
        </w:rPr>
        <w:t xml:space="preserve">0226 </w:t>
      </w:r>
      <w:r w:rsidR="003227E9" w:rsidRPr="003227E9">
        <w:rPr>
          <w:i/>
        </w:rPr>
        <w:t xml:space="preserve"> </w:t>
      </w:r>
      <w:r w:rsidRPr="003227E9">
        <w:rPr>
          <w:i/>
        </w:rPr>
        <w:t xml:space="preserve">– </w:t>
      </w:r>
      <w:r w:rsidR="003227E9" w:rsidRPr="003227E9">
        <w:rPr>
          <w:i/>
        </w:rPr>
        <w:t xml:space="preserve">Sportska i glazbena oprema </w:t>
      </w:r>
      <w:r w:rsidR="003227E9" w:rsidRPr="003227E9">
        <w:t xml:space="preserve">– smanjenje imovine zbog </w:t>
      </w:r>
      <w:r w:rsidR="003227E9">
        <w:t>rashodovanja</w:t>
      </w:r>
    </w:p>
    <w:p w:rsidR="003227E9" w:rsidRDefault="003227E9" w:rsidP="003825EF">
      <w:pPr>
        <w:spacing w:line="360" w:lineRule="auto"/>
        <w:jc w:val="both"/>
      </w:pPr>
    </w:p>
    <w:p w:rsidR="003227E9" w:rsidRPr="003227E9" w:rsidRDefault="003227E9" w:rsidP="003825EF">
      <w:pPr>
        <w:spacing w:line="360" w:lineRule="auto"/>
        <w:jc w:val="both"/>
      </w:pPr>
      <w:r>
        <w:t xml:space="preserve">0227 – </w:t>
      </w:r>
      <w:proofErr w:type="spellStart"/>
      <w:r>
        <w:t>Uređaji,strojevi</w:t>
      </w:r>
      <w:proofErr w:type="spellEnd"/>
      <w:r>
        <w:t xml:space="preserve"> i oprema za ostale namjene - </w:t>
      </w:r>
      <w:r w:rsidRPr="003227E9">
        <w:t xml:space="preserve">smanjenje imovine zbog </w:t>
      </w:r>
      <w:r>
        <w:t>rashodovanja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Default="003825EF" w:rsidP="003825EF">
      <w:pPr>
        <w:spacing w:line="360" w:lineRule="auto"/>
        <w:jc w:val="both"/>
      </w:pPr>
      <w:r w:rsidRPr="00262360">
        <w:rPr>
          <w:b/>
          <w:i/>
        </w:rPr>
        <w:t xml:space="preserve">129 </w:t>
      </w:r>
      <w:r w:rsidRPr="00262360">
        <w:rPr>
          <w:i/>
        </w:rPr>
        <w:t xml:space="preserve">– </w:t>
      </w:r>
      <w:r w:rsidRPr="00262360">
        <w:t>Ostala potraživanja su smanjila u odnosu na 202</w:t>
      </w:r>
      <w:r w:rsidR="00262360" w:rsidRPr="00262360">
        <w:t>3</w:t>
      </w:r>
      <w:r w:rsidRPr="00262360">
        <w:t>.godinu, veći dio potraživanja se odnosi i na potraživanja za bolovanja duža od 42 dana od HZZO-a.</w:t>
      </w:r>
    </w:p>
    <w:p w:rsidR="00262360" w:rsidRDefault="00262360" w:rsidP="003825EF">
      <w:pPr>
        <w:spacing w:line="360" w:lineRule="auto"/>
        <w:jc w:val="both"/>
      </w:pPr>
    </w:p>
    <w:p w:rsidR="00262360" w:rsidRPr="00262360" w:rsidRDefault="00262360" w:rsidP="003825EF">
      <w:pPr>
        <w:spacing w:line="360" w:lineRule="auto"/>
        <w:jc w:val="both"/>
      </w:pPr>
      <w:r>
        <w:t>165 – Potraživanja za upravne i administrativne pristojbe, pristojbe po posebnim propisima i naknade</w:t>
      </w:r>
    </w:p>
    <w:p w:rsidR="003825EF" w:rsidRPr="007113E9" w:rsidRDefault="003825EF" w:rsidP="003825EF">
      <w:pPr>
        <w:spacing w:line="360" w:lineRule="auto"/>
        <w:jc w:val="both"/>
        <w:rPr>
          <w:b/>
          <w:i/>
          <w:color w:val="FF0000"/>
        </w:rPr>
      </w:pPr>
    </w:p>
    <w:p w:rsidR="003825EF" w:rsidRPr="00262360" w:rsidRDefault="003825EF" w:rsidP="003825EF">
      <w:pPr>
        <w:spacing w:line="360" w:lineRule="auto"/>
        <w:jc w:val="both"/>
      </w:pPr>
      <w:r w:rsidRPr="00262360">
        <w:rPr>
          <w:b/>
          <w:i/>
        </w:rPr>
        <w:t>166</w:t>
      </w:r>
      <w:r w:rsidRPr="00262360">
        <w:rPr>
          <w:i/>
        </w:rPr>
        <w:t xml:space="preserve"> – </w:t>
      </w:r>
      <w:r w:rsidRPr="00262360">
        <w:t xml:space="preserve">Potraživanja za prihode od prodaje proizvoda i robe te pruženih usluga iznose </w:t>
      </w:r>
      <w:r w:rsidR="00262360" w:rsidRPr="00262360">
        <w:t>361</w:t>
      </w:r>
      <w:r w:rsidRPr="00262360">
        <w:t>,</w:t>
      </w:r>
      <w:r w:rsidR="00262360" w:rsidRPr="00262360">
        <w:t>8</w:t>
      </w:r>
      <w:r w:rsidRPr="00262360">
        <w:t>2 eura te se to odnosi na pr</w:t>
      </w:r>
      <w:r w:rsidR="00262360" w:rsidRPr="00262360">
        <w:t xml:space="preserve">ihod od najma dvorane </w:t>
      </w:r>
      <w:r w:rsidRPr="00262360">
        <w:t xml:space="preserve">i </w:t>
      </w:r>
      <w:proofErr w:type="spellStart"/>
      <w:r w:rsidRPr="00262360">
        <w:t>kafe</w:t>
      </w:r>
      <w:proofErr w:type="spellEnd"/>
      <w:r w:rsidRPr="00262360">
        <w:t xml:space="preserve"> aparata </w:t>
      </w:r>
      <w:r w:rsidR="00262360" w:rsidRPr="00262360">
        <w:t>i smanjena se</w:t>
      </w:r>
      <w:r w:rsidRPr="00262360">
        <w:t xml:space="preserve"> za 24,</w:t>
      </w:r>
      <w:r w:rsidR="00262360" w:rsidRPr="00262360">
        <w:t>9</w:t>
      </w:r>
      <w:r w:rsidRPr="00262360">
        <w:t xml:space="preserve"> %.</w:t>
      </w:r>
    </w:p>
    <w:p w:rsidR="003825EF" w:rsidRPr="00262360" w:rsidRDefault="003825EF" w:rsidP="003825EF">
      <w:pPr>
        <w:spacing w:line="360" w:lineRule="auto"/>
        <w:jc w:val="both"/>
      </w:pPr>
    </w:p>
    <w:p w:rsidR="003825EF" w:rsidRPr="00262360" w:rsidRDefault="003825EF" w:rsidP="003825EF">
      <w:pPr>
        <w:spacing w:line="360" w:lineRule="auto"/>
        <w:jc w:val="both"/>
      </w:pPr>
      <w:r w:rsidRPr="00262360">
        <w:rPr>
          <w:i/>
        </w:rPr>
        <w:t xml:space="preserve">167 – </w:t>
      </w:r>
      <w:r w:rsidRPr="00262360">
        <w:t xml:space="preserve">Potraživanja za prihode iz proračuna iznose </w:t>
      </w:r>
      <w:r w:rsidR="00262360" w:rsidRPr="00262360">
        <w:t>22</w:t>
      </w:r>
      <w:r w:rsidRPr="00262360">
        <w:t>.</w:t>
      </w:r>
      <w:r w:rsidR="00262360" w:rsidRPr="00262360">
        <w:t>956</w:t>
      </w:r>
      <w:r w:rsidRPr="00262360">
        <w:t>,</w:t>
      </w:r>
      <w:r w:rsidR="00262360" w:rsidRPr="00262360">
        <w:t>6</w:t>
      </w:r>
      <w:r w:rsidRPr="00262360">
        <w:t>2 eura. Odnosi se na višak namjenskih prihoda koji će biti raspoloživ u tekućem razdoblju, a ostatak se odnosi na račune koji su teretili rashode u 202</w:t>
      </w:r>
      <w:r w:rsidR="00262360" w:rsidRPr="00262360">
        <w:t>4</w:t>
      </w:r>
      <w:r w:rsidRPr="00262360">
        <w:t>. godini, ali nisu plaćeni do 31.12.202</w:t>
      </w:r>
      <w:r w:rsidR="00262360" w:rsidRPr="00262360">
        <w:t>4</w:t>
      </w:r>
      <w:r w:rsidRPr="00262360">
        <w:t>. godine.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262360" w:rsidRDefault="003825EF" w:rsidP="003825EF">
      <w:pPr>
        <w:spacing w:line="360" w:lineRule="auto"/>
        <w:jc w:val="both"/>
      </w:pPr>
      <w:r w:rsidRPr="00262360">
        <w:rPr>
          <w:b/>
          <w:i/>
        </w:rPr>
        <w:t>19</w:t>
      </w:r>
      <w:r w:rsidR="00262360" w:rsidRPr="00262360">
        <w:rPr>
          <w:b/>
          <w:i/>
        </w:rPr>
        <w:t>1</w:t>
      </w:r>
      <w:r w:rsidRPr="00262360">
        <w:rPr>
          <w:i/>
        </w:rPr>
        <w:t xml:space="preserve"> – </w:t>
      </w:r>
      <w:r w:rsidR="00262360" w:rsidRPr="00262360">
        <w:t>R</w:t>
      </w:r>
      <w:r w:rsidRPr="00262360">
        <w:t xml:space="preserve">ashodi budućih razdoblja u iznosu od </w:t>
      </w:r>
      <w:r w:rsidR="00262360" w:rsidRPr="00262360">
        <w:t>104</w:t>
      </w:r>
      <w:r w:rsidRPr="00262360">
        <w:t>.</w:t>
      </w:r>
      <w:r w:rsidR="00262360" w:rsidRPr="00262360">
        <w:t>507</w:t>
      </w:r>
      <w:r w:rsidRPr="00262360">
        <w:t>,</w:t>
      </w:r>
      <w:r w:rsidR="00262360" w:rsidRPr="00262360">
        <w:t>9</w:t>
      </w:r>
      <w:r w:rsidRPr="00262360">
        <w:t>3 eura odnose se na iskazane rashode za plaće i naknade za prosinac 202</w:t>
      </w:r>
      <w:r w:rsidR="00262360" w:rsidRPr="00262360">
        <w:t>4</w:t>
      </w:r>
      <w:r w:rsidRPr="00262360">
        <w:t>. godine. Povećanje je 1</w:t>
      </w:r>
      <w:r w:rsidR="00262360" w:rsidRPr="00262360">
        <w:t>1</w:t>
      </w:r>
      <w:r w:rsidRPr="00262360">
        <w:t>,</w:t>
      </w:r>
      <w:r w:rsidR="00262360" w:rsidRPr="00262360">
        <w:t>2</w:t>
      </w:r>
      <w:r w:rsidRPr="00262360">
        <w:t>% u odnosu na prethodnu godinu zbog povećanja plaća.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262360" w:rsidRDefault="003825EF" w:rsidP="003825EF">
      <w:pPr>
        <w:spacing w:line="360" w:lineRule="auto"/>
        <w:jc w:val="both"/>
      </w:pPr>
      <w:r w:rsidRPr="00262360">
        <w:rPr>
          <w:b/>
          <w:i/>
        </w:rPr>
        <w:t>23</w:t>
      </w:r>
      <w:r w:rsidRPr="00262360">
        <w:rPr>
          <w:i/>
        </w:rPr>
        <w:t xml:space="preserve"> – </w:t>
      </w:r>
      <w:r w:rsidRPr="00262360">
        <w:t xml:space="preserve">Obveze za rashode poslovanja su povećane za </w:t>
      </w:r>
      <w:r w:rsidR="00262360" w:rsidRPr="00262360">
        <w:t>14</w:t>
      </w:r>
      <w:r w:rsidRPr="00262360">
        <w:t>,</w:t>
      </w:r>
      <w:r w:rsidR="00262360" w:rsidRPr="00262360">
        <w:t>5</w:t>
      </w:r>
      <w:r w:rsidRPr="00262360">
        <w:t>% zbog podmirivanja obaveza za račune iz prethodne godine u sljedećoj godini, a iznose 1</w:t>
      </w:r>
      <w:r w:rsidR="00262360" w:rsidRPr="00262360">
        <w:t>6</w:t>
      </w:r>
      <w:r w:rsidRPr="00262360">
        <w:t>1.</w:t>
      </w:r>
      <w:r w:rsidR="00262360" w:rsidRPr="00262360">
        <w:t>898,</w:t>
      </w:r>
      <w:r w:rsidRPr="00262360">
        <w:t>8</w:t>
      </w:r>
      <w:r w:rsidR="00262360" w:rsidRPr="00262360">
        <w:t>9</w:t>
      </w:r>
      <w:r w:rsidRPr="00262360">
        <w:t xml:space="preserve"> eura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262360" w:rsidRDefault="003825EF" w:rsidP="003825EF">
      <w:pPr>
        <w:spacing w:line="360" w:lineRule="auto"/>
        <w:jc w:val="both"/>
      </w:pPr>
      <w:r w:rsidRPr="00262360">
        <w:rPr>
          <w:b/>
          <w:i/>
        </w:rPr>
        <w:t>239</w:t>
      </w:r>
      <w:r w:rsidRPr="00262360">
        <w:rPr>
          <w:i/>
        </w:rPr>
        <w:t xml:space="preserve"> –</w:t>
      </w:r>
      <w:r w:rsidRPr="00262360">
        <w:t xml:space="preserve"> Evidentirane su obveze za povrat u proračun u iznosu od </w:t>
      </w:r>
      <w:r w:rsidR="00262360" w:rsidRPr="00262360">
        <w:t>7</w:t>
      </w:r>
      <w:r w:rsidRPr="00262360">
        <w:t>.</w:t>
      </w:r>
      <w:r w:rsidR="00262360" w:rsidRPr="00262360">
        <w:t>947</w:t>
      </w:r>
      <w:r w:rsidRPr="00262360">
        <w:t>,</w:t>
      </w:r>
      <w:r w:rsidR="00262360" w:rsidRPr="00262360">
        <w:t>5</w:t>
      </w:r>
      <w:r w:rsidRPr="00262360">
        <w:t>6 eura i nema velikih odstupan</w:t>
      </w:r>
      <w:r w:rsidR="00262360" w:rsidRPr="00262360">
        <w:t>ja u odnosu na prethodnu godinu, smanjene se za 11,9%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262360" w:rsidRDefault="003825EF" w:rsidP="003825EF">
      <w:pPr>
        <w:spacing w:line="360" w:lineRule="auto"/>
        <w:jc w:val="both"/>
      </w:pPr>
      <w:r w:rsidRPr="00262360">
        <w:rPr>
          <w:b/>
          <w:i/>
        </w:rPr>
        <w:t>92221</w:t>
      </w:r>
      <w:r w:rsidRPr="00262360">
        <w:rPr>
          <w:i/>
        </w:rPr>
        <w:t xml:space="preserve"> – </w:t>
      </w:r>
      <w:r w:rsidRPr="00262360">
        <w:t xml:space="preserve">manjak prihoda poslovanja sastoji se od </w:t>
      </w:r>
      <w:r w:rsidR="00262360" w:rsidRPr="00262360">
        <w:t xml:space="preserve">preneseno </w:t>
      </w:r>
      <w:r w:rsidRPr="00262360">
        <w:t xml:space="preserve">manjka </w:t>
      </w:r>
      <w:r w:rsidR="00262360" w:rsidRPr="00262360">
        <w:t>2023. godine te manjka prihoda poslovan</w:t>
      </w:r>
      <w:r w:rsidR="00813825">
        <w:t>ja koji je nastao u 2024.godini.</w:t>
      </w:r>
    </w:p>
    <w:p w:rsidR="003825EF" w:rsidRPr="00262360" w:rsidRDefault="003825EF" w:rsidP="003825EF">
      <w:pPr>
        <w:spacing w:line="360" w:lineRule="auto"/>
        <w:jc w:val="both"/>
      </w:pPr>
    </w:p>
    <w:p w:rsidR="00EF3333" w:rsidRDefault="00EF3333" w:rsidP="003825EF">
      <w:pPr>
        <w:spacing w:line="360" w:lineRule="auto"/>
        <w:jc w:val="both"/>
        <w:rPr>
          <w:color w:val="FF0000"/>
        </w:rPr>
      </w:pPr>
    </w:p>
    <w:p w:rsidR="00EF3333" w:rsidRPr="007113E9" w:rsidRDefault="00EF3333" w:rsidP="003825EF">
      <w:pPr>
        <w:spacing w:line="360" w:lineRule="auto"/>
        <w:jc w:val="both"/>
        <w:rPr>
          <w:color w:val="FF0000"/>
        </w:rPr>
      </w:pP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893526" w:rsidRDefault="003825EF" w:rsidP="003825EF">
      <w:pPr>
        <w:jc w:val="center"/>
        <w:rPr>
          <w:b/>
          <w:sz w:val="32"/>
          <w:szCs w:val="32"/>
        </w:rPr>
      </w:pPr>
      <w:r w:rsidRPr="00893526">
        <w:rPr>
          <w:b/>
          <w:sz w:val="32"/>
          <w:szCs w:val="32"/>
        </w:rPr>
        <w:t>Bilješke uz obrazac RAS – funkcijski</w:t>
      </w:r>
    </w:p>
    <w:p w:rsidR="003825EF" w:rsidRPr="007113E9" w:rsidRDefault="003825EF" w:rsidP="003825EF">
      <w:pPr>
        <w:jc w:val="center"/>
        <w:rPr>
          <w:b/>
          <w:color w:val="FF0000"/>
          <w:sz w:val="32"/>
          <w:szCs w:val="32"/>
        </w:rPr>
      </w:pPr>
    </w:p>
    <w:p w:rsidR="003825EF" w:rsidRDefault="003825EF" w:rsidP="003825EF">
      <w:pPr>
        <w:spacing w:line="360" w:lineRule="auto"/>
        <w:jc w:val="both"/>
      </w:pPr>
      <w:r w:rsidRPr="00893526">
        <w:t>Funkcijska klasifikacija sadrži rashode razvrstane prema njihovoj namjeni. OŠ Turnić obavlja djelatnost osnovnog obrazovanja 0912, te rashodi vezani uz navedenu namjenu iznose 1.</w:t>
      </w:r>
      <w:r w:rsidR="00893526" w:rsidRPr="00893526">
        <w:t>497</w:t>
      </w:r>
      <w:r w:rsidRPr="00893526">
        <w:t>.</w:t>
      </w:r>
      <w:r w:rsidR="00893526" w:rsidRPr="00893526">
        <w:t>689</w:t>
      </w:r>
      <w:r w:rsidRPr="00893526">
        <w:t>,</w:t>
      </w:r>
      <w:r w:rsidR="00893526" w:rsidRPr="00893526">
        <w:t>27</w:t>
      </w:r>
      <w:r w:rsidRPr="00893526">
        <w:t xml:space="preserve"> eura. Prehrana učenika iskazuju se posebno kao dodatne usluge u obrazovanju, te one iznose 1</w:t>
      </w:r>
      <w:r w:rsidR="00893526" w:rsidRPr="00893526">
        <w:t>4</w:t>
      </w:r>
      <w:r w:rsidRPr="00893526">
        <w:t>4.1</w:t>
      </w:r>
      <w:r w:rsidR="00893526" w:rsidRPr="00893526">
        <w:t>4</w:t>
      </w:r>
      <w:r w:rsidRPr="00893526">
        <w:t>2,</w:t>
      </w:r>
      <w:r w:rsidR="00893526" w:rsidRPr="00893526">
        <w:t>79</w:t>
      </w:r>
      <w:r w:rsidRPr="00893526">
        <w:t xml:space="preserve"> eura. U odnosu na prošlu godinu je veći jer su porasle plaće zaposlenika </w:t>
      </w:r>
      <w:r w:rsidR="00893526" w:rsidRPr="00893526">
        <w:t xml:space="preserve">a nastavljena je </w:t>
      </w:r>
      <w:r w:rsidRPr="00893526">
        <w:t xml:space="preserve"> besplatna marenda za učenike u iznosu 1,33 euro po učeniku.</w:t>
      </w:r>
    </w:p>
    <w:p w:rsidR="00EF3333" w:rsidRDefault="00EF3333" w:rsidP="003825EF">
      <w:pPr>
        <w:spacing w:line="360" w:lineRule="auto"/>
        <w:jc w:val="both"/>
      </w:pPr>
    </w:p>
    <w:p w:rsidR="00EF3333" w:rsidRDefault="00EF3333" w:rsidP="003825EF">
      <w:pPr>
        <w:spacing w:line="360" w:lineRule="auto"/>
        <w:jc w:val="both"/>
      </w:pPr>
    </w:p>
    <w:p w:rsidR="00EF3333" w:rsidRPr="00893526" w:rsidRDefault="00EF3333" w:rsidP="003825EF">
      <w:pPr>
        <w:spacing w:line="360" w:lineRule="auto"/>
        <w:jc w:val="both"/>
      </w:pPr>
    </w:p>
    <w:p w:rsidR="003825EF" w:rsidRPr="00C923AD" w:rsidRDefault="003825EF" w:rsidP="003825EF">
      <w:pPr>
        <w:jc w:val="center"/>
        <w:rPr>
          <w:b/>
          <w:sz w:val="32"/>
          <w:szCs w:val="32"/>
        </w:rPr>
      </w:pPr>
      <w:r w:rsidRPr="00C923AD">
        <w:rPr>
          <w:b/>
          <w:sz w:val="32"/>
          <w:szCs w:val="32"/>
        </w:rPr>
        <w:t>Bilješke uz obrazac P-VRIO</w:t>
      </w:r>
    </w:p>
    <w:p w:rsidR="003825EF" w:rsidRPr="00C923AD" w:rsidRDefault="003825EF" w:rsidP="003825EF">
      <w:pPr>
        <w:spacing w:line="360" w:lineRule="auto"/>
        <w:jc w:val="both"/>
      </w:pPr>
    </w:p>
    <w:p w:rsidR="003825EF" w:rsidRPr="00C923AD" w:rsidRDefault="003825EF" w:rsidP="003825EF">
      <w:pPr>
        <w:spacing w:line="360" w:lineRule="auto"/>
        <w:jc w:val="both"/>
      </w:pPr>
    </w:p>
    <w:p w:rsidR="00EF3333" w:rsidRDefault="003825EF" w:rsidP="003825EF">
      <w:pPr>
        <w:spacing w:line="360" w:lineRule="auto"/>
        <w:jc w:val="both"/>
      </w:pPr>
      <w:r w:rsidRPr="00C923AD">
        <w:t xml:space="preserve">U obrascu je prikazano povećanje vrijednosti imovine jer je škola prema uputama Ministarstva imala promjena u vrijednosti i obujmu imovine koja se odnosi na </w:t>
      </w:r>
      <w:r w:rsidR="00C923AD" w:rsidRPr="00C923AD">
        <w:t xml:space="preserve">nabavljenu imovinu odnosno prijenos vlasništva u ukupnom iznosu 34.803,78 eura. </w:t>
      </w:r>
    </w:p>
    <w:p w:rsidR="00E0669B" w:rsidRDefault="00E0669B" w:rsidP="003825EF">
      <w:pPr>
        <w:spacing w:line="360" w:lineRule="auto"/>
        <w:jc w:val="both"/>
      </w:pPr>
    </w:p>
    <w:p w:rsidR="00E0669B" w:rsidRPr="00262360" w:rsidRDefault="00E0669B" w:rsidP="003825EF">
      <w:pPr>
        <w:spacing w:line="360" w:lineRule="auto"/>
        <w:jc w:val="both"/>
      </w:pPr>
    </w:p>
    <w:p w:rsidR="003825EF" w:rsidRPr="00B72B34" w:rsidRDefault="003825EF" w:rsidP="003825EF">
      <w:pPr>
        <w:jc w:val="center"/>
        <w:rPr>
          <w:b/>
          <w:sz w:val="32"/>
          <w:szCs w:val="32"/>
        </w:rPr>
      </w:pPr>
      <w:r w:rsidRPr="00B72B34">
        <w:rPr>
          <w:b/>
          <w:sz w:val="32"/>
          <w:szCs w:val="32"/>
        </w:rPr>
        <w:lastRenderedPageBreak/>
        <w:t>Bilješke uz obrazac OBVEZE</w:t>
      </w:r>
    </w:p>
    <w:p w:rsidR="00FA74EF" w:rsidRDefault="00FA74EF" w:rsidP="00FA74EF">
      <w:pPr>
        <w:rPr>
          <w:b/>
          <w:sz w:val="32"/>
          <w:szCs w:val="32"/>
        </w:rPr>
      </w:pPr>
    </w:p>
    <w:p w:rsidR="00EF3333" w:rsidRPr="00B72B34" w:rsidRDefault="00EF3333" w:rsidP="00FA74EF">
      <w:pPr>
        <w:rPr>
          <w:b/>
          <w:sz w:val="32"/>
          <w:szCs w:val="32"/>
        </w:rPr>
      </w:pPr>
    </w:p>
    <w:p w:rsidR="00FA74EF" w:rsidRPr="00B72B34" w:rsidRDefault="00FA74EF" w:rsidP="00FA74EF">
      <w:r w:rsidRPr="00B72B34">
        <w:t>V001 – stanje obveza na 31.12. prethodne godine odnosno na 01.01.202</w:t>
      </w:r>
      <w:r w:rsidR="00B72B34" w:rsidRPr="00B72B34">
        <w:t>4</w:t>
      </w:r>
      <w:r w:rsidRPr="00B72B34">
        <w:t>. je 1</w:t>
      </w:r>
      <w:r w:rsidR="00B72B34" w:rsidRPr="00B72B34">
        <w:t>61</w:t>
      </w:r>
      <w:r w:rsidRPr="00B72B34">
        <w:t>.</w:t>
      </w:r>
      <w:r w:rsidR="00B72B34" w:rsidRPr="00B72B34">
        <w:t>663</w:t>
      </w:r>
      <w:r w:rsidRPr="00B72B34">
        <w:t>,</w:t>
      </w:r>
      <w:r w:rsidR="00B72B34" w:rsidRPr="00B72B34">
        <w:t>4</w:t>
      </w:r>
      <w:r w:rsidRPr="00B72B34">
        <w:t>6 eura</w:t>
      </w:r>
    </w:p>
    <w:p w:rsidR="003825EF" w:rsidRPr="00B72B34" w:rsidRDefault="003825EF" w:rsidP="003825EF">
      <w:pPr>
        <w:spacing w:line="360" w:lineRule="auto"/>
        <w:jc w:val="both"/>
      </w:pPr>
      <w:r w:rsidRPr="00B72B34">
        <w:t>V002 – povećanje obveza u izvještajnom razdoblju iznosi 1.</w:t>
      </w:r>
      <w:r w:rsidR="00B72B34" w:rsidRPr="00B72B34">
        <w:t>669</w:t>
      </w:r>
      <w:r w:rsidRPr="00B72B34">
        <w:t>.</w:t>
      </w:r>
      <w:r w:rsidR="00B72B34" w:rsidRPr="00B72B34">
        <w:t>238</w:t>
      </w:r>
      <w:r w:rsidR="00FA74EF" w:rsidRPr="00B72B34">
        <w:t>,</w:t>
      </w:r>
      <w:r w:rsidR="00B72B34" w:rsidRPr="00B72B34">
        <w:t>05</w:t>
      </w:r>
      <w:r w:rsidRPr="00B72B34">
        <w:t xml:space="preserve"> eura od čega najveći dio otpada na obveze za zaposlene u iznosu od 1.</w:t>
      </w:r>
      <w:r w:rsidR="00B72B34" w:rsidRPr="00B72B34">
        <w:t>358</w:t>
      </w:r>
      <w:r w:rsidR="00FA74EF" w:rsidRPr="00B72B34">
        <w:t>.</w:t>
      </w:r>
      <w:r w:rsidR="00B72B34" w:rsidRPr="00B72B34">
        <w:t>898</w:t>
      </w:r>
      <w:r w:rsidR="00FA74EF" w:rsidRPr="00B72B34">
        <w:t>,</w:t>
      </w:r>
      <w:r w:rsidR="00B72B34" w:rsidRPr="00B72B34">
        <w:t>26</w:t>
      </w:r>
      <w:r w:rsidR="00FA74EF" w:rsidRPr="00B72B34">
        <w:t xml:space="preserve"> </w:t>
      </w:r>
      <w:r w:rsidRPr="00B72B34">
        <w:t>eura, obveze za materijalne rashode u iznosu 2</w:t>
      </w:r>
      <w:r w:rsidR="00FA74EF" w:rsidRPr="00B72B34">
        <w:t>5</w:t>
      </w:r>
      <w:r w:rsidR="00B72B34" w:rsidRPr="00B72B34">
        <w:t>8</w:t>
      </w:r>
      <w:r w:rsidRPr="00B72B34">
        <w:t>.</w:t>
      </w:r>
      <w:r w:rsidR="00B72B34" w:rsidRPr="00B72B34">
        <w:t>654</w:t>
      </w:r>
      <w:r w:rsidRPr="00B72B34">
        <w:t>,</w:t>
      </w:r>
      <w:r w:rsidR="00B72B34" w:rsidRPr="00B72B34">
        <w:t>97</w:t>
      </w:r>
      <w:r w:rsidRPr="00B72B34">
        <w:t xml:space="preserve"> eura, obveze za financijske rashode (platni promet, sudske pristojbe)  u iznosu od </w:t>
      </w:r>
      <w:r w:rsidR="00B72B34" w:rsidRPr="00B72B34">
        <w:t xml:space="preserve">266,64 </w:t>
      </w:r>
      <w:r w:rsidRPr="00B72B34">
        <w:t xml:space="preserve">eura, obveze za naknade građanima i kućanstvima u iznosu od </w:t>
      </w:r>
      <w:r w:rsidR="00B72B34" w:rsidRPr="00B72B34">
        <w:t>33</w:t>
      </w:r>
      <w:r w:rsidRPr="00B72B34">
        <w:t>.</w:t>
      </w:r>
      <w:r w:rsidR="00B72B34" w:rsidRPr="00B72B34">
        <w:t>313</w:t>
      </w:r>
      <w:r w:rsidRPr="00B72B34">
        <w:t>,</w:t>
      </w:r>
      <w:r w:rsidR="00B72B34" w:rsidRPr="00B72B34">
        <w:t>88</w:t>
      </w:r>
      <w:r w:rsidRPr="00B72B34">
        <w:t xml:space="preserve"> eura, ostale tekuće obveze </w:t>
      </w:r>
      <w:r w:rsidR="00FA74EF" w:rsidRPr="00B72B34">
        <w:t>1</w:t>
      </w:r>
      <w:r w:rsidR="00B72B34" w:rsidRPr="00B72B34">
        <w:t>6</w:t>
      </w:r>
      <w:r w:rsidRPr="00B72B34">
        <w:t>.</w:t>
      </w:r>
      <w:r w:rsidR="00B72B34" w:rsidRPr="00B72B34">
        <w:t>401</w:t>
      </w:r>
      <w:r w:rsidRPr="00B72B34">
        <w:t>,</w:t>
      </w:r>
      <w:r w:rsidR="00B72B34" w:rsidRPr="00B72B34">
        <w:t>1</w:t>
      </w:r>
      <w:r w:rsidR="00FA74EF" w:rsidRPr="00B72B34">
        <w:t>7</w:t>
      </w:r>
      <w:r w:rsidRPr="00B72B34">
        <w:t xml:space="preserve"> eura, te obveze za nabavu </w:t>
      </w:r>
      <w:r w:rsidR="00B72B34" w:rsidRPr="00B72B34">
        <w:t>nefinancijske imovine u iznosu 1</w:t>
      </w:r>
      <w:r w:rsidRPr="00B72B34">
        <w:t>.</w:t>
      </w:r>
      <w:r w:rsidR="00B72B34" w:rsidRPr="00B72B34">
        <w:t>70</w:t>
      </w:r>
      <w:r w:rsidRPr="00B72B34">
        <w:t>3,</w:t>
      </w:r>
      <w:r w:rsidR="00B72B34" w:rsidRPr="00B72B34">
        <w:t>13</w:t>
      </w:r>
      <w:r w:rsidRPr="00B72B34">
        <w:t xml:space="preserve"> eura.</w:t>
      </w:r>
    </w:p>
    <w:p w:rsidR="003825EF" w:rsidRPr="00B72B34" w:rsidRDefault="003825EF" w:rsidP="003825EF">
      <w:pPr>
        <w:spacing w:line="360" w:lineRule="auto"/>
        <w:jc w:val="both"/>
      </w:pPr>
      <w:r w:rsidRPr="00B72B34">
        <w:t>V004 – podmirene obveze u izvještajnom razdoblju iznosi 1.</w:t>
      </w:r>
      <w:r w:rsidR="00B72B34" w:rsidRPr="00B72B34">
        <w:t>668</w:t>
      </w:r>
      <w:r w:rsidRPr="00B72B34">
        <w:t>.</w:t>
      </w:r>
      <w:r w:rsidR="00B72B34" w:rsidRPr="00B72B34">
        <w:t>284</w:t>
      </w:r>
      <w:r w:rsidRPr="00B72B34">
        <w:t>,</w:t>
      </w:r>
      <w:r w:rsidR="00B72B34" w:rsidRPr="00B72B34">
        <w:t>22</w:t>
      </w:r>
      <w:r w:rsidRPr="00B72B34">
        <w:t xml:space="preserve"> eura od čega najveći dio otpada na obveze za zaposlene u iznosu od</w:t>
      </w:r>
      <w:r w:rsidRPr="007113E9">
        <w:rPr>
          <w:color w:val="FF0000"/>
        </w:rPr>
        <w:t xml:space="preserve"> </w:t>
      </w:r>
      <w:r w:rsidRPr="00B72B34">
        <w:t>1.</w:t>
      </w:r>
      <w:r w:rsidR="00B72B34" w:rsidRPr="00B72B34">
        <w:t>332</w:t>
      </w:r>
      <w:r w:rsidRPr="00B72B34">
        <w:t>.</w:t>
      </w:r>
      <w:r w:rsidR="00B72B34" w:rsidRPr="00B72B34">
        <w:t>954</w:t>
      </w:r>
      <w:r w:rsidRPr="00B72B34">
        <w:t>,</w:t>
      </w:r>
      <w:r w:rsidR="00B72B34" w:rsidRPr="00B72B34">
        <w:t>66</w:t>
      </w:r>
      <w:r w:rsidRPr="00B72B34">
        <w:t xml:space="preserve"> eura,  obveze za materijalne rashode u iznosu 2</w:t>
      </w:r>
      <w:r w:rsidR="00B72B34" w:rsidRPr="00B72B34">
        <w:t>56</w:t>
      </w:r>
      <w:r w:rsidRPr="00B72B34">
        <w:t>.</w:t>
      </w:r>
      <w:r w:rsidR="00B72B34" w:rsidRPr="00B72B34">
        <w:t>950</w:t>
      </w:r>
      <w:r w:rsidRPr="00B72B34">
        <w:t>,</w:t>
      </w:r>
      <w:r w:rsidR="00B72B34" w:rsidRPr="00B72B34">
        <w:t>9</w:t>
      </w:r>
      <w:r w:rsidRPr="00B72B34">
        <w:t xml:space="preserve">9 eura, financijske rashode u iznosu od </w:t>
      </w:r>
      <w:r w:rsidR="00B72B34" w:rsidRPr="00B72B34">
        <w:t>271</w:t>
      </w:r>
      <w:r w:rsidRPr="00B72B34">
        <w:t>,1</w:t>
      </w:r>
      <w:r w:rsidR="00B72B34" w:rsidRPr="00B72B34">
        <w:t>2</w:t>
      </w:r>
      <w:r w:rsidRPr="00B72B34">
        <w:t xml:space="preserve"> eura obveze za naknade građanima i kućanstvima u iznosu od </w:t>
      </w:r>
      <w:r w:rsidR="00B72B34" w:rsidRPr="00B72B34">
        <w:t>39.720,27</w:t>
      </w:r>
      <w:r w:rsidRPr="00B72B34">
        <w:t xml:space="preserve"> euro, tekuće obveze poput refundacije bolovan</w:t>
      </w:r>
      <w:r w:rsidR="00B72B34" w:rsidRPr="00B72B34">
        <w:t xml:space="preserve">ja </w:t>
      </w:r>
      <w:r w:rsidRPr="00B72B34">
        <w:t>1</w:t>
      </w:r>
      <w:r w:rsidR="00B72B34" w:rsidRPr="00B72B34">
        <w:t>7</w:t>
      </w:r>
      <w:r w:rsidRPr="00B72B34">
        <w:t>.</w:t>
      </w:r>
      <w:r w:rsidR="00B72B34" w:rsidRPr="00B72B34">
        <w:t>47</w:t>
      </w:r>
      <w:r w:rsidRPr="00B72B34">
        <w:t>3,</w:t>
      </w:r>
      <w:r w:rsidR="00B72B34" w:rsidRPr="00B72B34">
        <w:t>13</w:t>
      </w:r>
      <w:r w:rsidRPr="00B72B34">
        <w:t xml:space="preserve"> eura te obveze za nabavu nefinancijske imovine u iznosu 2</w:t>
      </w:r>
      <w:r w:rsidR="00B72B34" w:rsidRPr="00B72B34">
        <w:t>0</w:t>
      </w:r>
      <w:r w:rsidRPr="00B72B34">
        <w:t>.</w:t>
      </w:r>
      <w:r w:rsidR="00B72B34" w:rsidRPr="00B72B34">
        <w:t>914</w:t>
      </w:r>
      <w:r w:rsidRPr="00B72B34">
        <w:t>,</w:t>
      </w:r>
      <w:r w:rsidR="00B72B34" w:rsidRPr="00B72B34">
        <w:t>0</w:t>
      </w:r>
      <w:r w:rsidRPr="00B72B34">
        <w:t>5 eura.</w:t>
      </w:r>
    </w:p>
    <w:p w:rsidR="003825EF" w:rsidRPr="00B72B34" w:rsidRDefault="003825EF" w:rsidP="003825EF">
      <w:pPr>
        <w:spacing w:line="360" w:lineRule="auto"/>
        <w:jc w:val="both"/>
      </w:pPr>
      <w:r w:rsidRPr="00B72B34">
        <w:t>Iskazane obveze na dan 31.12.202</w:t>
      </w:r>
      <w:r w:rsidR="00B72B34" w:rsidRPr="00B72B34">
        <w:t>4</w:t>
      </w:r>
      <w:r w:rsidRPr="00B72B34">
        <w:t xml:space="preserve">. godine iznose </w:t>
      </w:r>
      <w:r w:rsidRPr="00B72B34">
        <w:rPr>
          <w:b/>
        </w:rPr>
        <w:t>16</w:t>
      </w:r>
      <w:r w:rsidR="00B72B34" w:rsidRPr="00B72B34">
        <w:rPr>
          <w:b/>
        </w:rPr>
        <w:t>2</w:t>
      </w:r>
      <w:r w:rsidRPr="00B72B34">
        <w:rPr>
          <w:b/>
        </w:rPr>
        <w:t>.6</w:t>
      </w:r>
      <w:r w:rsidR="00B72B34" w:rsidRPr="00B72B34">
        <w:rPr>
          <w:b/>
        </w:rPr>
        <w:t>17</w:t>
      </w:r>
      <w:r w:rsidRPr="00B72B34">
        <w:rPr>
          <w:b/>
        </w:rPr>
        <w:t>,</w:t>
      </w:r>
      <w:r w:rsidR="00B72B34" w:rsidRPr="00B72B34">
        <w:rPr>
          <w:b/>
        </w:rPr>
        <w:t>29</w:t>
      </w:r>
      <w:r w:rsidRPr="00B72B34">
        <w:rPr>
          <w:b/>
        </w:rPr>
        <w:t xml:space="preserve"> eura</w:t>
      </w:r>
      <w:r w:rsidRPr="00B72B34">
        <w:t xml:space="preserve">. </w:t>
      </w:r>
    </w:p>
    <w:p w:rsidR="003825EF" w:rsidRPr="00893526" w:rsidRDefault="003825EF" w:rsidP="003825EF">
      <w:pPr>
        <w:spacing w:line="360" w:lineRule="auto"/>
        <w:jc w:val="both"/>
      </w:pPr>
      <w:r w:rsidRPr="00893526">
        <w:t>Ukupne dospjele obveze iznose 2</w:t>
      </w:r>
      <w:r w:rsidR="00893526" w:rsidRPr="00893526">
        <w:t>7</w:t>
      </w:r>
      <w:r w:rsidRPr="00893526">
        <w:t>.</w:t>
      </w:r>
      <w:r w:rsidR="00893526" w:rsidRPr="00893526">
        <w:t>059</w:t>
      </w:r>
      <w:r w:rsidRPr="00893526">
        <w:t>,</w:t>
      </w:r>
      <w:r w:rsidR="00893526" w:rsidRPr="00893526">
        <w:t>85</w:t>
      </w:r>
      <w:r w:rsidRPr="00893526">
        <w:t xml:space="preserve"> eura </w:t>
      </w:r>
      <w:r w:rsidR="00893526" w:rsidRPr="00893526">
        <w:t xml:space="preserve">te se odnose </w:t>
      </w:r>
      <w:r w:rsidRPr="00893526">
        <w:t>na</w:t>
      </w:r>
      <w:r w:rsidR="00893526" w:rsidRPr="00893526">
        <w:t xml:space="preserve"> </w:t>
      </w:r>
      <w:r w:rsidRPr="00893526">
        <w:t>materijalne rashode</w:t>
      </w:r>
      <w:r w:rsidR="00893526" w:rsidRPr="00893526">
        <w:t xml:space="preserve"> u iznosu 19.085,95, ostale tekuće obveze – refundacije bolovanja u iznosu 7.947,56 eura te obveze za nabavu nefinancijske imovine 26,34 eura</w:t>
      </w:r>
      <w:r w:rsidRPr="00893526">
        <w:t>.</w:t>
      </w:r>
      <w:r w:rsidRPr="007113E9">
        <w:rPr>
          <w:color w:val="FF0000"/>
        </w:rPr>
        <w:t xml:space="preserve"> </w:t>
      </w:r>
      <w:r w:rsidRPr="00893526">
        <w:t>Ukupne nedospjele obveze iznose 135.</w:t>
      </w:r>
      <w:r w:rsidR="00893526" w:rsidRPr="00893526">
        <w:t>557</w:t>
      </w:r>
      <w:r w:rsidRPr="00893526">
        <w:t>,</w:t>
      </w:r>
      <w:r w:rsidR="00893526" w:rsidRPr="00893526">
        <w:t>44</w:t>
      </w:r>
      <w:r w:rsidRPr="00893526">
        <w:t xml:space="preserve"> eura od čega se iznos od </w:t>
      </w:r>
      <w:r w:rsidR="00893526" w:rsidRPr="00893526">
        <w:t>134</w:t>
      </w:r>
      <w:r w:rsidRPr="00893526">
        <w:t>.</w:t>
      </w:r>
      <w:r w:rsidR="00893526" w:rsidRPr="00893526">
        <w:t>865</w:t>
      </w:r>
      <w:r w:rsidRPr="00893526">
        <w:t>,</w:t>
      </w:r>
      <w:r w:rsidR="00893526" w:rsidRPr="00893526">
        <w:t>38</w:t>
      </w:r>
      <w:r w:rsidRPr="00893526">
        <w:t xml:space="preserve"> eura odnosi na obveze za rashode za plaće za prosinac 202</w:t>
      </w:r>
      <w:r w:rsidR="00893526" w:rsidRPr="00893526">
        <w:t>4</w:t>
      </w:r>
      <w:r w:rsidRPr="00893526">
        <w:t xml:space="preserve">. godine te na </w:t>
      </w:r>
      <w:r w:rsidR="00893526" w:rsidRPr="00893526">
        <w:t>obveze za nabavu nefinancijske imovine u iznosu 692,06 eura.</w:t>
      </w:r>
    </w:p>
    <w:p w:rsidR="003825EF" w:rsidRPr="007113E9" w:rsidRDefault="003825EF" w:rsidP="003825EF">
      <w:pPr>
        <w:spacing w:line="360" w:lineRule="auto"/>
        <w:jc w:val="both"/>
        <w:rPr>
          <w:color w:val="FF0000"/>
        </w:rPr>
      </w:pPr>
    </w:p>
    <w:p w:rsidR="003825EF" w:rsidRPr="007113E9" w:rsidRDefault="003825EF" w:rsidP="003825EF">
      <w:pPr>
        <w:rPr>
          <w:color w:val="FF0000"/>
        </w:rPr>
      </w:pPr>
    </w:p>
    <w:p w:rsidR="003825EF" w:rsidRDefault="003825EF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Default="00262360" w:rsidP="003825EF">
      <w:pPr>
        <w:rPr>
          <w:color w:val="FF0000"/>
        </w:rPr>
      </w:pPr>
    </w:p>
    <w:p w:rsidR="00262360" w:rsidRPr="007113E9" w:rsidRDefault="00262360" w:rsidP="003825EF">
      <w:pPr>
        <w:rPr>
          <w:color w:val="FF0000"/>
        </w:rPr>
      </w:pPr>
    </w:p>
    <w:p w:rsidR="003825EF" w:rsidRPr="007113E9" w:rsidRDefault="003825EF" w:rsidP="003825EF">
      <w:pPr>
        <w:rPr>
          <w:color w:val="FF0000"/>
        </w:rPr>
      </w:pPr>
    </w:p>
    <w:p w:rsidR="003825EF" w:rsidRDefault="003825EF" w:rsidP="003825EF"/>
    <w:p w:rsidR="003825EF" w:rsidRPr="007B4CE3" w:rsidRDefault="003825EF" w:rsidP="003825EF">
      <w:pPr>
        <w:spacing w:line="360" w:lineRule="auto"/>
      </w:pPr>
      <w:r w:rsidRPr="007B4CE3">
        <w:t>Voditelj</w:t>
      </w:r>
      <w:r>
        <w:t>ica</w:t>
      </w:r>
      <w:r w:rsidRPr="007B4CE3">
        <w:t xml:space="preserve"> računovodstva:</w:t>
      </w:r>
      <w:r w:rsidRPr="007B4CE3">
        <w:tab/>
      </w:r>
      <w:r w:rsidRPr="007B4CE3">
        <w:tab/>
      </w:r>
      <w:r w:rsidRPr="007B4CE3">
        <w:tab/>
      </w:r>
      <w:r w:rsidRPr="007B4CE3">
        <w:tab/>
      </w:r>
      <w:r w:rsidRPr="007B4CE3">
        <w:tab/>
      </w:r>
      <w:r w:rsidR="00154E25">
        <w:tab/>
      </w:r>
      <w:r w:rsidR="00154E25">
        <w:tab/>
      </w:r>
      <w:r>
        <w:t>Ravnateljica</w:t>
      </w:r>
      <w:r w:rsidRPr="007B4CE3">
        <w:t>:</w:t>
      </w:r>
    </w:p>
    <w:p w:rsidR="00E72A17" w:rsidRDefault="003A3883" w:rsidP="003825EF">
      <w:pPr>
        <w:spacing w:line="360" w:lineRule="auto"/>
      </w:pPr>
      <w:r>
        <w:t xml:space="preserve"> </w:t>
      </w:r>
      <w:r w:rsidR="00154E25">
        <w:t>Dijana Radoslav</w:t>
      </w:r>
      <w:r w:rsidR="00154E25">
        <w:tab/>
      </w:r>
      <w:r w:rsidR="00154E25">
        <w:tab/>
      </w:r>
      <w:r w:rsidR="00154E25">
        <w:tab/>
      </w:r>
      <w:r w:rsidR="00154E25">
        <w:tab/>
      </w:r>
      <w:r w:rsidR="00154E25">
        <w:tab/>
      </w:r>
      <w:r w:rsidR="00154E25">
        <w:tab/>
      </w:r>
      <w:r w:rsidR="00154E25">
        <w:tab/>
      </w:r>
      <w:r w:rsidR="00154E25">
        <w:tab/>
        <w:t>Marija Illich Grbeša</w:t>
      </w:r>
    </w:p>
    <w:sectPr w:rsidR="00E72A17" w:rsidSect="00BF10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EF"/>
    <w:rsid w:val="00154E25"/>
    <w:rsid w:val="00262360"/>
    <w:rsid w:val="002D58B8"/>
    <w:rsid w:val="00316F1F"/>
    <w:rsid w:val="003227E9"/>
    <w:rsid w:val="003825EF"/>
    <w:rsid w:val="00385444"/>
    <w:rsid w:val="003A3883"/>
    <w:rsid w:val="003C3E97"/>
    <w:rsid w:val="003E3B01"/>
    <w:rsid w:val="00435C9F"/>
    <w:rsid w:val="00437F30"/>
    <w:rsid w:val="006A16CB"/>
    <w:rsid w:val="006A2656"/>
    <w:rsid w:val="007113E9"/>
    <w:rsid w:val="00790B94"/>
    <w:rsid w:val="00813825"/>
    <w:rsid w:val="00820A4A"/>
    <w:rsid w:val="008310FF"/>
    <w:rsid w:val="00893526"/>
    <w:rsid w:val="008F3A66"/>
    <w:rsid w:val="00937954"/>
    <w:rsid w:val="00B72B34"/>
    <w:rsid w:val="00BF1087"/>
    <w:rsid w:val="00C923AD"/>
    <w:rsid w:val="00D978F4"/>
    <w:rsid w:val="00DA6AA2"/>
    <w:rsid w:val="00E0669B"/>
    <w:rsid w:val="00E72A17"/>
    <w:rsid w:val="00EC2ECF"/>
    <w:rsid w:val="00EF3333"/>
    <w:rsid w:val="00F25DF5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0A04"/>
  <w15:chartTrackingRefBased/>
  <w15:docId w15:val="{7269B82B-D7C4-423B-BF84-DDC16598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3825EF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3825EF"/>
  </w:style>
  <w:style w:type="paragraph" w:styleId="Bezproreda">
    <w:name w:val="No Spacing"/>
    <w:link w:val="BezproredaChar"/>
    <w:uiPriority w:val="1"/>
    <w:qFormat/>
    <w:rsid w:val="003825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rsid w:val="003825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Radoslav</dc:creator>
  <cp:keywords/>
  <dc:description/>
  <cp:lastModifiedBy>Dijana Radoslav</cp:lastModifiedBy>
  <cp:revision>15</cp:revision>
  <dcterms:created xsi:type="dcterms:W3CDTF">2024-01-30T15:50:00Z</dcterms:created>
  <dcterms:modified xsi:type="dcterms:W3CDTF">2025-01-29T08:12:00Z</dcterms:modified>
</cp:coreProperties>
</file>