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EF" w:rsidRPr="008615A0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val="en-US"/>
        </w:rPr>
      </w:pPr>
      <w:r w:rsidRPr="008615A0">
        <w:rPr>
          <w:rStyle w:val="normaltextrun"/>
          <w:bCs/>
          <w:lang w:val="en-US"/>
        </w:rPr>
        <w:t>KLASA:</w:t>
      </w:r>
      <w:r>
        <w:rPr>
          <w:rStyle w:val="normaltextrun"/>
          <w:bCs/>
          <w:lang w:val="en-US"/>
        </w:rPr>
        <w:t xml:space="preserve"> </w:t>
      </w:r>
      <w:r>
        <w:t>400-04/24-01/1</w:t>
      </w: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val="en-US"/>
        </w:rPr>
      </w:pPr>
      <w:r w:rsidRPr="008615A0">
        <w:rPr>
          <w:rStyle w:val="normaltextrun"/>
          <w:bCs/>
          <w:lang w:val="en-US"/>
        </w:rPr>
        <w:t>URBROJ:</w:t>
      </w:r>
      <w:r w:rsidRPr="00250178">
        <w:t xml:space="preserve"> </w:t>
      </w:r>
      <w:r>
        <w:t>2170-1-68-01-24-1</w:t>
      </w: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val="en-US"/>
        </w:rPr>
      </w:pP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val="en-US"/>
        </w:rPr>
      </w:pPr>
      <w:r>
        <w:rPr>
          <w:rStyle w:val="normaltextrun"/>
          <w:bCs/>
          <w:lang w:val="en-US"/>
        </w:rPr>
        <w:t xml:space="preserve">Rijeka, 30.01.2024. </w:t>
      </w:r>
      <w:proofErr w:type="spellStart"/>
      <w:r>
        <w:rPr>
          <w:rStyle w:val="normaltextrun"/>
          <w:bCs/>
          <w:lang w:val="en-US"/>
        </w:rPr>
        <w:t>godine</w:t>
      </w:r>
      <w:proofErr w:type="spellEnd"/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val="en-US"/>
        </w:rPr>
      </w:pP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lang w:val="en-US"/>
        </w:rPr>
      </w:pPr>
    </w:p>
    <w:p w:rsidR="003825EF" w:rsidRDefault="003825EF" w:rsidP="003825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3825EF" w:rsidRDefault="003825EF" w:rsidP="003825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3825EF" w:rsidRDefault="003825EF" w:rsidP="003825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3825EF" w:rsidRDefault="003825EF" w:rsidP="003825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3825EF" w:rsidRDefault="003825EF" w:rsidP="003825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  <w:proofErr w:type="spellStart"/>
      <w:r w:rsidRPr="005D344D">
        <w:rPr>
          <w:rStyle w:val="normaltextrun"/>
          <w:b/>
          <w:bCs/>
          <w:sz w:val="32"/>
          <w:szCs w:val="32"/>
          <w:lang w:val="en-US"/>
        </w:rPr>
        <w:t>Bilješke</w:t>
      </w:r>
      <w:proofErr w:type="spellEnd"/>
      <w:r w:rsidRPr="005D344D">
        <w:rPr>
          <w:rStyle w:val="normaltextrun"/>
          <w:b/>
          <w:bCs/>
          <w:sz w:val="32"/>
          <w:szCs w:val="32"/>
          <w:lang w:val="en-US"/>
        </w:rPr>
        <w:t xml:space="preserve"> </w:t>
      </w:r>
      <w:proofErr w:type="spellStart"/>
      <w:r w:rsidRPr="005D344D">
        <w:rPr>
          <w:rStyle w:val="normaltextrun"/>
          <w:b/>
          <w:bCs/>
          <w:sz w:val="32"/>
          <w:szCs w:val="32"/>
          <w:lang w:val="en-US"/>
        </w:rPr>
        <w:t>uz</w:t>
      </w:r>
      <w:proofErr w:type="spellEnd"/>
      <w:r w:rsidRPr="005D344D">
        <w:rPr>
          <w:rStyle w:val="normaltextrun"/>
          <w:b/>
          <w:bCs/>
          <w:sz w:val="32"/>
          <w:szCs w:val="32"/>
          <w:lang w:val="en-US"/>
        </w:rPr>
        <w:t xml:space="preserve"> </w:t>
      </w:r>
      <w:proofErr w:type="spellStart"/>
      <w:r w:rsidRPr="005D344D">
        <w:rPr>
          <w:rStyle w:val="normaltextrun"/>
          <w:b/>
          <w:bCs/>
          <w:sz w:val="32"/>
          <w:szCs w:val="32"/>
          <w:lang w:val="en-US"/>
        </w:rPr>
        <w:t>financijske</w:t>
      </w:r>
      <w:proofErr w:type="spellEnd"/>
      <w:r w:rsidRPr="005D344D">
        <w:rPr>
          <w:rStyle w:val="normaltextrun"/>
          <w:b/>
          <w:bCs/>
          <w:sz w:val="32"/>
          <w:szCs w:val="32"/>
          <w:lang w:val="en-US"/>
        </w:rPr>
        <w:t xml:space="preserve"> </w:t>
      </w:r>
      <w:proofErr w:type="spellStart"/>
      <w:r w:rsidRPr="005D344D">
        <w:rPr>
          <w:rStyle w:val="normaltextrun"/>
          <w:b/>
          <w:bCs/>
          <w:sz w:val="32"/>
          <w:szCs w:val="32"/>
          <w:lang w:val="en-US"/>
        </w:rPr>
        <w:t>izvještaje</w:t>
      </w:r>
      <w:proofErr w:type="spellEnd"/>
      <w:r w:rsidRPr="005D344D">
        <w:rPr>
          <w:rStyle w:val="normaltextrun"/>
          <w:b/>
          <w:bCs/>
          <w:sz w:val="32"/>
          <w:szCs w:val="32"/>
          <w:lang w:val="en-US"/>
        </w:rPr>
        <w:t xml:space="preserve"> </w:t>
      </w:r>
      <w:proofErr w:type="spellStart"/>
      <w:r w:rsidRPr="005D344D">
        <w:rPr>
          <w:rStyle w:val="normaltextrun"/>
          <w:b/>
          <w:bCs/>
          <w:sz w:val="32"/>
          <w:szCs w:val="32"/>
          <w:lang w:val="en-US"/>
        </w:rPr>
        <w:t>za</w:t>
      </w:r>
      <w:proofErr w:type="spellEnd"/>
      <w:r w:rsidRPr="005D344D">
        <w:rPr>
          <w:rStyle w:val="normaltextrun"/>
          <w:b/>
          <w:bCs/>
          <w:sz w:val="32"/>
          <w:szCs w:val="32"/>
          <w:lang w:val="en-US"/>
        </w:rPr>
        <w:t xml:space="preserve"> 2023. </w:t>
      </w:r>
      <w:proofErr w:type="spellStart"/>
      <w:r w:rsidRPr="005D344D">
        <w:rPr>
          <w:rStyle w:val="normaltextrun"/>
          <w:b/>
          <w:bCs/>
          <w:sz w:val="32"/>
          <w:szCs w:val="32"/>
          <w:lang w:val="en-US"/>
        </w:rPr>
        <w:t>Godinu</w:t>
      </w:r>
      <w:proofErr w:type="spellEnd"/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  <w:lang w:val="en-US"/>
        </w:rPr>
      </w:pPr>
      <w:r>
        <w:rPr>
          <w:rStyle w:val="normaltextrun"/>
          <w:b/>
          <w:bCs/>
          <w:sz w:val="32"/>
          <w:szCs w:val="32"/>
          <w:lang w:val="en-US"/>
        </w:rPr>
        <w:t>OSNOVNA ŠKOLA TURNIĆ</w:t>
      </w: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  <w:lang w:val="en-US"/>
        </w:rPr>
      </w:pPr>
      <w:r>
        <w:rPr>
          <w:rStyle w:val="normaltextrun"/>
          <w:b/>
          <w:bCs/>
          <w:sz w:val="32"/>
          <w:szCs w:val="32"/>
          <w:lang w:val="en-US"/>
        </w:rPr>
        <w:t>FRANJE ČANDEKA 20</w:t>
      </w: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  <w:lang w:val="en-US"/>
        </w:rPr>
      </w:pPr>
      <w:r>
        <w:rPr>
          <w:rStyle w:val="normaltextrun"/>
          <w:b/>
          <w:bCs/>
          <w:sz w:val="32"/>
          <w:szCs w:val="32"/>
          <w:lang w:val="en-US"/>
        </w:rPr>
        <w:t>51 000 RIJEKA</w:t>
      </w: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  <w:lang w:val="en-US"/>
        </w:rPr>
      </w:pPr>
      <w:r>
        <w:rPr>
          <w:rStyle w:val="normaltextrun"/>
          <w:b/>
          <w:bCs/>
          <w:sz w:val="32"/>
          <w:szCs w:val="32"/>
          <w:lang w:val="en-US"/>
        </w:rPr>
        <w:t>OIB: 05694325239</w:t>
      </w: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</w:p>
    <w:p w:rsidR="003825EF" w:rsidRPr="005D344D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</w:p>
    <w:p w:rsidR="003825EF" w:rsidRDefault="003825EF" w:rsidP="003825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i/>
        </w:rPr>
      </w:pPr>
      <w:r>
        <w:rPr>
          <w:rStyle w:val="normaltextrun"/>
          <w:i/>
        </w:rPr>
        <w:t>Sastavila: Dijana Radoslav</w:t>
      </w:r>
    </w:p>
    <w:p w:rsidR="003825EF" w:rsidRDefault="003825EF" w:rsidP="003825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i/>
        </w:rPr>
      </w:pPr>
    </w:p>
    <w:p w:rsidR="003825EF" w:rsidRDefault="003825EF" w:rsidP="003825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i/>
        </w:rPr>
      </w:pPr>
      <w:r>
        <w:rPr>
          <w:rStyle w:val="normaltextrun"/>
          <w:i/>
        </w:rPr>
        <w:t>Ravnateljica: Jasna Sandalj</w:t>
      </w:r>
    </w:p>
    <w:p w:rsidR="003825EF" w:rsidRDefault="003825EF" w:rsidP="003825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i/>
        </w:rPr>
      </w:pPr>
    </w:p>
    <w:p w:rsidR="003825EF" w:rsidRDefault="003825EF" w:rsidP="003825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i/>
        </w:rPr>
      </w:pPr>
    </w:p>
    <w:p w:rsidR="003825EF" w:rsidRDefault="003825EF" w:rsidP="003825EF">
      <w:pPr>
        <w:pStyle w:val="Bezproreda"/>
        <w:framePr w:hSpace="187" w:wrap="around" w:vAnchor="page" w:hAnchor="page" w:x="1104" w:y="12646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041B">
        <w:rPr>
          <w:rFonts w:ascii="Times New Roman" w:hAnsi="Times New Roman"/>
          <w:i/>
          <w:sz w:val="24"/>
          <w:szCs w:val="24"/>
        </w:rPr>
        <w:t>Bilješke uz obrazac PR-RAS</w:t>
      </w:r>
    </w:p>
    <w:p w:rsidR="003825EF" w:rsidRDefault="003825EF" w:rsidP="003825EF">
      <w:pPr>
        <w:pStyle w:val="Bezproreda"/>
        <w:framePr w:hSpace="187" w:wrap="around" w:vAnchor="page" w:hAnchor="page" w:x="1104" w:y="12646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Bilješke uz obrazac BILANCA</w:t>
      </w:r>
    </w:p>
    <w:p w:rsidR="003825EF" w:rsidRPr="0083041B" w:rsidRDefault="003825EF" w:rsidP="003825EF">
      <w:pPr>
        <w:pStyle w:val="Bezproreda"/>
        <w:framePr w:hSpace="187" w:wrap="around" w:vAnchor="page" w:hAnchor="page" w:x="1104" w:y="12646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Bilješke uz obrazac RAS - funkcijski</w:t>
      </w:r>
      <w:r w:rsidRPr="0083041B">
        <w:rPr>
          <w:rFonts w:ascii="Times New Roman" w:hAnsi="Times New Roman"/>
          <w:i/>
          <w:sz w:val="24"/>
          <w:szCs w:val="24"/>
        </w:rPr>
        <w:t xml:space="preserve"> </w:t>
      </w:r>
    </w:p>
    <w:p w:rsidR="003825EF" w:rsidRDefault="003825EF" w:rsidP="003825EF">
      <w:pPr>
        <w:pStyle w:val="Bezproreda"/>
        <w:framePr w:hSpace="187" w:wrap="around" w:vAnchor="page" w:hAnchor="page" w:x="1104" w:y="12646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041B">
        <w:rPr>
          <w:rFonts w:ascii="Times New Roman" w:hAnsi="Times New Roman"/>
          <w:i/>
          <w:sz w:val="24"/>
          <w:szCs w:val="24"/>
        </w:rPr>
        <w:t>Bilješke uz obrazac  P-VRIO</w:t>
      </w:r>
    </w:p>
    <w:p w:rsidR="003825EF" w:rsidRDefault="003825EF" w:rsidP="003825EF">
      <w:pPr>
        <w:pStyle w:val="Bezproreda"/>
        <w:framePr w:hSpace="187" w:wrap="around" w:vAnchor="page" w:hAnchor="page" w:x="1104" w:y="12646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041B">
        <w:rPr>
          <w:rFonts w:ascii="Times New Roman" w:hAnsi="Times New Roman"/>
          <w:i/>
          <w:sz w:val="24"/>
          <w:szCs w:val="24"/>
        </w:rPr>
        <w:t xml:space="preserve">Bilješke uz obrazac  </w:t>
      </w:r>
      <w:r>
        <w:rPr>
          <w:rFonts w:ascii="Times New Roman" w:hAnsi="Times New Roman"/>
          <w:i/>
          <w:sz w:val="24"/>
          <w:szCs w:val="24"/>
        </w:rPr>
        <w:t>OBVEZE</w:t>
      </w:r>
    </w:p>
    <w:p w:rsidR="003825EF" w:rsidRDefault="003825EF" w:rsidP="003825EF">
      <w:pPr>
        <w:pStyle w:val="Bezproreda"/>
        <w:framePr w:hSpace="187" w:wrap="around" w:vAnchor="page" w:hAnchor="page" w:x="1104" w:y="12646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3825EF" w:rsidRPr="0083041B" w:rsidRDefault="003825EF" w:rsidP="003825EF">
      <w:pPr>
        <w:pStyle w:val="Bezproreda"/>
        <w:framePr w:hSpace="187" w:wrap="around" w:vAnchor="page" w:hAnchor="page" w:x="1104" w:y="12646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3825EF" w:rsidRDefault="003825EF" w:rsidP="003825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i/>
        </w:rPr>
      </w:pPr>
    </w:p>
    <w:p w:rsidR="003A3883" w:rsidRDefault="003A3883" w:rsidP="003825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i/>
        </w:rPr>
      </w:pPr>
    </w:p>
    <w:p w:rsidR="003A3883" w:rsidRDefault="003A3883" w:rsidP="003825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i/>
        </w:rPr>
      </w:pPr>
    </w:p>
    <w:p w:rsidR="003A3883" w:rsidRDefault="003A3883" w:rsidP="003825E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i/>
        </w:rPr>
      </w:pP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  <w:r>
        <w:rPr>
          <w:rStyle w:val="normaltextrun"/>
          <w:i/>
        </w:rPr>
        <w:tab/>
      </w:r>
      <w:r>
        <w:rPr>
          <w:rStyle w:val="normaltextrun"/>
          <w:i/>
        </w:rPr>
        <w:tab/>
      </w:r>
      <w:r>
        <w:rPr>
          <w:rStyle w:val="normaltextrun"/>
          <w:i/>
        </w:rPr>
        <w:tab/>
      </w:r>
      <w:r>
        <w:rPr>
          <w:rStyle w:val="normaltextrun"/>
          <w:i/>
        </w:rPr>
        <w:tab/>
      </w:r>
      <w:r>
        <w:rPr>
          <w:rStyle w:val="normaltextrun"/>
          <w:i/>
        </w:rPr>
        <w:tab/>
      </w:r>
      <w:r>
        <w:rPr>
          <w:rStyle w:val="normaltextrun"/>
          <w:i/>
        </w:rPr>
        <w:tab/>
      </w:r>
      <w:r>
        <w:rPr>
          <w:rStyle w:val="normaltextrun"/>
          <w:i/>
        </w:rPr>
        <w:tab/>
      </w:r>
      <w:r>
        <w:rPr>
          <w:rStyle w:val="normaltextrun"/>
          <w:i/>
        </w:rPr>
        <w:tab/>
      </w: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</w:p>
    <w:p w:rsidR="003825EF" w:rsidRDefault="003825EF" w:rsidP="003825EF">
      <w:pPr>
        <w:pStyle w:val="paragraph"/>
        <w:spacing w:before="0" w:beforeAutospacing="0" w:after="0" w:afterAutospacing="0"/>
        <w:textAlignment w:val="baseline"/>
        <w:rPr>
          <w:rStyle w:val="normaltextrun"/>
          <w:i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  <w:r w:rsidRPr="00DC4B2E">
        <w:rPr>
          <w:b/>
          <w:sz w:val="32"/>
          <w:szCs w:val="32"/>
        </w:rPr>
        <w:lastRenderedPageBreak/>
        <w:t>Bilješke uz obrazac PR-RAS</w:t>
      </w: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Pr="00DC4B2E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spacing w:line="360" w:lineRule="auto"/>
        <w:jc w:val="both"/>
      </w:pPr>
      <w:r w:rsidRPr="00BF49E1">
        <w:t>Ukupno ostvareni prihodi i primici za razdoblje 01. siječnja do 31. prosinca</w:t>
      </w:r>
      <w:r>
        <w:t xml:space="preserve"> 2023</w:t>
      </w:r>
      <w:r w:rsidRPr="00BF49E1">
        <w:t xml:space="preserve">. godine iznose </w:t>
      </w:r>
      <w:r>
        <w:t>1.345.719,62</w:t>
      </w:r>
      <w:r w:rsidRPr="00BF49E1">
        <w:t xml:space="preserve"> </w:t>
      </w:r>
      <w:r>
        <w:t>eura</w:t>
      </w:r>
      <w:r w:rsidRPr="00BF49E1">
        <w:t xml:space="preserve">, dok ukupno ostvareni rashodi i izdaci iznose </w:t>
      </w:r>
      <w:r>
        <w:t xml:space="preserve">1.353.239,05 eura. </w:t>
      </w:r>
    </w:p>
    <w:p w:rsidR="003825EF" w:rsidRDefault="003825EF" w:rsidP="003825EF">
      <w:pPr>
        <w:spacing w:line="360" w:lineRule="auto"/>
        <w:jc w:val="both"/>
      </w:pPr>
      <w:r>
        <w:t>Manjak prihoda i primitaka koje treba pokriti u sljedećem razdoblju je sa 12.570,04 eura iz 2022. godine  i 7.520,03 eura uz 2023.godine što ukupno tvori manjak prihoda poslovanja u iznosu 20.090,07 eura.</w:t>
      </w:r>
    </w:p>
    <w:p w:rsidR="003825EF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  <w:r>
        <w:t>Na dan 31.12.2022. godine škola je imala evidentiran manjak prihoda u iznosu od 12.570,04 eura,</w:t>
      </w:r>
    </w:p>
    <w:p w:rsidR="003825EF" w:rsidRDefault="003825EF" w:rsidP="003825EF">
      <w:pPr>
        <w:spacing w:line="360" w:lineRule="auto"/>
        <w:jc w:val="both"/>
      </w:pPr>
      <w:r>
        <w:t xml:space="preserve">a  manjak je nastao  kao rezultat iznimnog porasta cijene energenata u 2021.godini te troškova </w:t>
      </w:r>
      <w:proofErr w:type="spellStart"/>
      <w:r>
        <w:t>Erasmus</w:t>
      </w:r>
      <w:proofErr w:type="spellEnd"/>
      <w:r>
        <w:t xml:space="preserve"> projekta.</w:t>
      </w:r>
    </w:p>
    <w:p w:rsidR="003825EF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  <w:r>
        <w:t>Manjak prihoda poslovanja u 2023.godini nastao je kao posljedica rashoda nefinancijske imovine – knjiga u iznosu 2.511,27 eura te uredske opreme i namještaja u iznosu 9.881,78 eura što čini ukupni iznos od 12.393,05 eura</w:t>
      </w:r>
    </w:p>
    <w:p w:rsidR="003825EF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  <w:r>
        <w:t xml:space="preserve">U strukturi prihoda OŠ Turnić najznačajnije su tekuće pomoći od MZO-a, koje se koriste za financiranje plaća i ostalih materijalnih prava zaposlenika škole. Navedeni prihodi u cijelosti su utrošeni na isplate plaća, prijevoza, isplatu regresa, božićnica i ostalih naknada za 50-ak djelatnika, te naknada za nezapošljavanje invalida.  </w:t>
      </w:r>
    </w:p>
    <w:p w:rsidR="003825EF" w:rsidRDefault="003825EF" w:rsidP="003825EF">
      <w:pPr>
        <w:spacing w:line="360" w:lineRule="auto"/>
        <w:jc w:val="both"/>
      </w:pPr>
      <w:r>
        <w:t>Prihodi od sufinanciranja cijene usluga su ove godine nešto veći u odnosu na prethodnu godinu zbog povećanja plaća djelatnika te zbog još jednog odjela produženog boravka, sada sa ukupno 4 odjela.</w:t>
      </w:r>
    </w:p>
    <w:p w:rsidR="003825EF" w:rsidRDefault="003825EF" w:rsidP="003825EF">
      <w:pPr>
        <w:spacing w:line="360" w:lineRule="auto"/>
        <w:jc w:val="both"/>
      </w:pPr>
      <w:r>
        <w:t xml:space="preserve"> Rashodi su najvećim dijelom utrošeni na namirnice i na plaće učiteljica u produženom boravku.</w:t>
      </w:r>
    </w:p>
    <w:p w:rsidR="003825EF" w:rsidRDefault="003825EF" w:rsidP="003825EF">
      <w:pPr>
        <w:spacing w:before="240" w:line="360" w:lineRule="auto"/>
        <w:jc w:val="both"/>
      </w:pPr>
      <w:r>
        <w:t>Opći prihodi i primici nadležnog proračuna Grada Rijeke u iznosu od 68.069,89 eura, a odnose se na plaću, prijevoz, isplate regresa i božićnice za četiri učiteljice u produženom boravku u iznosu od 44.387,26 eura, te fakultativni predmet „Moja Rijeka“ i Građanski odgoj i obrazovanje“.</w:t>
      </w:r>
    </w:p>
    <w:p w:rsidR="003825EF" w:rsidRDefault="003825EF" w:rsidP="003825EF">
      <w:pPr>
        <w:spacing w:before="240" w:line="360" w:lineRule="auto"/>
        <w:jc w:val="both"/>
      </w:pPr>
    </w:p>
    <w:p w:rsidR="003825EF" w:rsidRDefault="003825EF" w:rsidP="003825EF">
      <w:pPr>
        <w:spacing w:before="240" w:line="360" w:lineRule="auto"/>
        <w:jc w:val="both"/>
      </w:pPr>
    </w:p>
    <w:p w:rsidR="003825EF" w:rsidRDefault="003825EF" w:rsidP="003825EF">
      <w:pPr>
        <w:spacing w:before="240" w:line="360" w:lineRule="auto"/>
        <w:jc w:val="both"/>
      </w:pPr>
      <w:r>
        <w:lastRenderedPageBreak/>
        <w:t>Ove godine su financirani rashodi za nabavu ulaganja na nefinancijskoj imovini u iznosu od 10.000,00 eura od čega je Škola kupila:</w:t>
      </w:r>
    </w:p>
    <w:p w:rsidR="003825EF" w:rsidRDefault="003825EF" w:rsidP="003825EF">
      <w:pPr>
        <w:spacing w:before="240" w:line="360" w:lineRule="auto"/>
        <w:jc w:val="both"/>
      </w:pPr>
      <w:r>
        <w:t xml:space="preserve">1. </w:t>
      </w:r>
      <w:r>
        <w:tab/>
        <w:t>4 klima uređaja</w:t>
      </w:r>
    </w:p>
    <w:p w:rsidR="003825EF" w:rsidRDefault="003825EF" w:rsidP="003825EF">
      <w:pPr>
        <w:spacing w:before="240" w:line="360" w:lineRule="auto"/>
        <w:jc w:val="both"/>
      </w:pPr>
      <w:r>
        <w:t xml:space="preserve">2. </w:t>
      </w:r>
      <w:r>
        <w:tab/>
        <w:t>Perilicu posuđa</w:t>
      </w:r>
    </w:p>
    <w:p w:rsidR="003825EF" w:rsidRDefault="003825EF" w:rsidP="003825EF">
      <w:pPr>
        <w:spacing w:before="240" w:line="360" w:lineRule="auto"/>
        <w:jc w:val="both"/>
      </w:pPr>
      <w:r>
        <w:t xml:space="preserve">3. </w:t>
      </w:r>
      <w:r>
        <w:tab/>
        <w:t>Klupe i stolice</w:t>
      </w:r>
    </w:p>
    <w:p w:rsidR="003825EF" w:rsidRDefault="003825EF" w:rsidP="003825EF">
      <w:pPr>
        <w:spacing w:before="240" w:line="360" w:lineRule="auto"/>
        <w:jc w:val="both"/>
      </w:pPr>
      <w:r>
        <w:t xml:space="preserve">4. </w:t>
      </w:r>
      <w:r>
        <w:tab/>
        <w:t>2 ormara za kemijski kabinet</w:t>
      </w:r>
    </w:p>
    <w:p w:rsidR="003825EF" w:rsidRDefault="003825EF" w:rsidP="003825EF">
      <w:pPr>
        <w:spacing w:before="240" w:line="360" w:lineRule="auto"/>
        <w:jc w:val="both"/>
      </w:pPr>
      <w:r>
        <w:t>5.</w:t>
      </w:r>
      <w:r>
        <w:tab/>
        <w:t>Puhalo za lišće i motorni čistač</w:t>
      </w:r>
    </w:p>
    <w:p w:rsidR="003825EF" w:rsidRDefault="003825EF" w:rsidP="003825EF">
      <w:pPr>
        <w:spacing w:before="240" w:line="360" w:lineRule="auto"/>
        <w:jc w:val="both"/>
      </w:pPr>
      <w:r>
        <w:t xml:space="preserve">6. </w:t>
      </w:r>
      <w:r>
        <w:tab/>
        <w:t>3 stolna računala</w:t>
      </w:r>
    </w:p>
    <w:p w:rsidR="003825EF" w:rsidRDefault="003825EF" w:rsidP="003825EF">
      <w:pPr>
        <w:spacing w:before="240" w:line="360" w:lineRule="auto"/>
        <w:jc w:val="both"/>
      </w:pPr>
      <w:r>
        <w:t>S obzirom da je tijekom 2023. također porasla cijena energenata Osnivač je financirao iz izvora 1100 rashode za energente u iznosu 1.000,00 eura.</w:t>
      </w:r>
    </w:p>
    <w:p w:rsidR="003825EF" w:rsidRDefault="003825EF" w:rsidP="003825EF">
      <w:pPr>
        <w:spacing w:before="240" w:line="360" w:lineRule="auto"/>
        <w:jc w:val="both"/>
      </w:pPr>
      <w:r>
        <w:t>Decentralizirana sredstva škole su najvećim dijelom utrošena na rashode za energiju, uredski materijal i ostale materijalne rashode, usluge telefona, pošte, službena putovanja, računalne usluge, usluge tekućeg i investicijskog održavanja i komunalne usluge u iznosu od 70.965,33eura.</w:t>
      </w:r>
    </w:p>
    <w:p w:rsidR="003825EF" w:rsidRDefault="003825EF" w:rsidP="003825EF">
      <w:pPr>
        <w:spacing w:after="120" w:line="360" w:lineRule="auto"/>
        <w:jc w:val="both"/>
        <w:rPr>
          <w:b/>
          <w:i/>
        </w:rPr>
      </w:pPr>
    </w:p>
    <w:p w:rsidR="003825EF" w:rsidRDefault="003825EF" w:rsidP="003825EF">
      <w:pPr>
        <w:spacing w:after="120" w:line="360" w:lineRule="auto"/>
        <w:jc w:val="both"/>
        <w:rPr>
          <w:b/>
          <w:i/>
        </w:rPr>
      </w:pPr>
    </w:p>
    <w:p w:rsidR="003825EF" w:rsidRDefault="003825EF" w:rsidP="003825EF">
      <w:pPr>
        <w:spacing w:after="120" w:line="360" w:lineRule="auto"/>
        <w:jc w:val="both"/>
        <w:rPr>
          <w:b/>
          <w:i/>
        </w:rPr>
      </w:pPr>
    </w:p>
    <w:p w:rsidR="003825EF" w:rsidRDefault="003825EF" w:rsidP="003825EF">
      <w:pPr>
        <w:spacing w:after="120" w:line="360" w:lineRule="auto"/>
        <w:jc w:val="both"/>
        <w:rPr>
          <w:b/>
          <w:i/>
        </w:rPr>
      </w:pPr>
    </w:p>
    <w:p w:rsidR="003825EF" w:rsidRDefault="003825EF" w:rsidP="003825EF">
      <w:pPr>
        <w:spacing w:after="120" w:line="360" w:lineRule="auto"/>
        <w:jc w:val="both"/>
        <w:rPr>
          <w:b/>
          <w:i/>
        </w:rPr>
      </w:pPr>
      <w:r w:rsidRPr="001714B8">
        <w:rPr>
          <w:b/>
          <w:i/>
        </w:rPr>
        <w:t xml:space="preserve">Tablica </w:t>
      </w:r>
      <w:r>
        <w:rPr>
          <w:b/>
          <w:i/>
        </w:rPr>
        <w:t>1</w:t>
      </w:r>
      <w:r w:rsidRPr="001714B8">
        <w:rPr>
          <w:b/>
          <w:i/>
        </w:rPr>
        <w:t>. Prikaz prihoda i rashoda po kategorijama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6378"/>
        <w:gridCol w:w="1476"/>
      </w:tblGrid>
      <w:tr w:rsidR="003825EF" w:rsidRPr="006900F9" w:rsidTr="006351D5">
        <w:trPr>
          <w:trHeight w:val="37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600" w:firstLine="1440"/>
              <w:rPr>
                <w:b/>
                <w:bCs/>
                <w:color w:val="000000"/>
              </w:rPr>
            </w:pPr>
            <w:r w:rsidRPr="006900F9">
              <w:rPr>
                <w:b/>
                <w:bCs/>
                <w:color w:val="000000"/>
              </w:rPr>
              <w:t>PRIHODI I RASHODI OD POSLOVANJA</w:t>
            </w:r>
          </w:p>
        </w:tc>
      </w:tr>
      <w:tr w:rsidR="003825EF" w:rsidRPr="006900F9" w:rsidTr="006351D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  <w:r w:rsidRPr="006900F9">
              <w:rPr>
                <w:color w:val="000000"/>
              </w:rPr>
              <w:t>Prihodi poslovanja (6)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5EF" w:rsidRPr="006900F9" w:rsidRDefault="003825EF" w:rsidP="006351D5">
            <w:pPr>
              <w:jc w:val="right"/>
            </w:pPr>
            <w:r>
              <w:t>1.345.682,48</w:t>
            </w:r>
          </w:p>
        </w:tc>
      </w:tr>
      <w:tr w:rsidR="003825EF" w:rsidRPr="006900F9" w:rsidTr="006351D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  <w:r w:rsidRPr="006900F9">
              <w:rPr>
                <w:color w:val="000000"/>
              </w:rPr>
              <w:t>Rashodi poslovanja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5EF" w:rsidRPr="006900F9" w:rsidRDefault="003825EF" w:rsidP="006351D5">
            <w:pPr>
              <w:jc w:val="right"/>
            </w:pPr>
            <w:r>
              <w:t>1.340.846,60</w:t>
            </w:r>
          </w:p>
        </w:tc>
      </w:tr>
      <w:tr w:rsidR="003825EF" w:rsidRPr="006900F9" w:rsidTr="006351D5">
        <w:trPr>
          <w:trHeight w:val="1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  <w:r w:rsidRPr="006900F9">
              <w:rPr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  <w:r w:rsidRPr="006900F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jc w:val="right"/>
            </w:pPr>
            <w:r w:rsidRPr="006900F9">
              <w:t> </w:t>
            </w:r>
          </w:p>
        </w:tc>
      </w:tr>
      <w:tr w:rsidR="003825EF" w:rsidRPr="006900F9" w:rsidTr="006351D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VIŠAK</w:t>
            </w:r>
            <w:r w:rsidRPr="006900F9">
              <w:rPr>
                <w:color w:val="000000"/>
              </w:rPr>
              <w:t xml:space="preserve"> PRIHODA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5EF" w:rsidRPr="006900F9" w:rsidRDefault="003825EF" w:rsidP="006351D5">
            <w:pPr>
              <w:jc w:val="right"/>
            </w:pPr>
            <w:r>
              <w:t>4.835,88</w:t>
            </w:r>
          </w:p>
        </w:tc>
      </w:tr>
      <w:tr w:rsidR="003825EF" w:rsidRPr="006900F9" w:rsidTr="006351D5">
        <w:trPr>
          <w:trHeight w:val="402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jc w:val="center"/>
              <w:rPr>
                <w:color w:val="000000"/>
              </w:rPr>
            </w:pPr>
          </w:p>
          <w:p w:rsidR="003825EF" w:rsidRDefault="003825EF" w:rsidP="006351D5">
            <w:pPr>
              <w:jc w:val="center"/>
              <w:rPr>
                <w:color w:val="000000"/>
              </w:rPr>
            </w:pPr>
          </w:p>
          <w:p w:rsidR="003825EF" w:rsidRDefault="003825EF" w:rsidP="006351D5">
            <w:pPr>
              <w:jc w:val="center"/>
              <w:rPr>
                <w:color w:val="000000"/>
              </w:rPr>
            </w:pPr>
          </w:p>
          <w:p w:rsidR="003825EF" w:rsidRDefault="003825EF" w:rsidP="006351D5">
            <w:pPr>
              <w:jc w:val="center"/>
              <w:rPr>
                <w:color w:val="000000"/>
              </w:rPr>
            </w:pPr>
          </w:p>
          <w:p w:rsidR="003825EF" w:rsidRPr="006900F9" w:rsidRDefault="003825EF" w:rsidP="006351D5">
            <w:pPr>
              <w:jc w:val="center"/>
              <w:rPr>
                <w:color w:val="000000"/>
              </w:rPr>
            </w:pPr>
            <w:r w:rsidRPr="006900F9">
              <w:rPr>
                <w:color w:val="000000"/>
              </w:rPr>
              <w:t> </w:t>
            </w:r>
          </w:p>
        </w:tc>
      </w:tr>
      <w:tr w:rsidR="003825EF" w:rsidRPr="006900F9" w:rsidTr="006351D5">
        <w:trPr>
          <w:trHeight w:val="4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600" w:firstLine="1440"/>
              <w:rPr>
                <w:b/>
                <w:bCs/>
                <w:color w:val="000000"/>
              </w:rPr>
            </w:pPr>
            <w:r w:rsidRPr="006900F9">
              <w:rPr>
                <w:b/>
                <w:bCs/>
                <w:color w:val="000000"/>
              </w:rPr>
              <w:lastRenderedPageBreak/>
              <w:t>PRIHODI I RASHODI OD NEFINANCIJSKE IMOVINE</w:t>
            </w:r>
          </w:p>
        </w:tc>
      </w:tr>
      <w:tr w:rsidR="003825EF" w:rsidRPr="006900F9" w:rsidTr="006351D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  <w:r w:rsidRPr="006900F9">
              <w:rPr>
                <w:color w:val="000000"/>
              </w:rPr>
              <w:t>Prihodi od prodaje nefinancijske imovine (7)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jc w:val="right"/>
            </w:pPr>
            <w:r>
              <w:t>37,14</w:t>
            </w:r>
          </w:p>
        </w:tc>
      </w:tr>
      <w:tr w:rsidR="003825EF" w:rsidRPr="006900F9" w:rsidTr="006351D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  <w:r w:rsidRPr="006900F9">
              <w:rPr>
                <w:color w:val="000000"/>
              </w:rPr>
              <w:t>Rashodi za nabavu nefinancijske imovine (4)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3825EF" w:rsidRPr="006900F9" w:rsidRDefault="003825EF" w:rsidP="006351D5">
            <w:pPr>
              <w:jc w:val="right"/>
            </w:pPr>
            <w:r>
              <w:t>12.393,05</w:t>
            </w:r>
          </w:p>
        </w:tc>
      </w:tr>
      <w:tr w:rsidR="003825EF" w:rsidRPr="006900F9" w:rsidTr="006351D5">
        <w:trPr>
          <w:trHeight w:val="1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  <w:r w:rsidRPr="006900F9">
              <w:rPr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  <w:r w:rsidRPr="006900F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r w:rsidRPr="006900F9">
              <w:t> </w:t>
            </w:r>
          </w:p>
        </w:tc>
      </w:tr>
      <w:tr w:rsidR="003825EF" w:rsidRPr="006900F9" w:rsidTr="006351D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ind w:firstLineChars="100" w:firstLine="240"/>
              <w:rPr>
                <w:color w:val="000000"/>
              </w:rPr>
            </w:pPr>
            <w:r w:rsidRPr="006900F9">
              <w:rPr>
                <w:color w:val="000000"/>
              </w:rPr>
              <w:t>MANJAK PRIHODA OD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6900F9" w:rsidRDefault="003825EF" w:rsidP="006351D5">
            <w:pPr>
              <w:jc w:val="right"/>
            </w:pPr>
            <w:r>
              <w:t>-12.355,91</w:t>
            </w:r>
          </w:p>
        </w:tc>
      </w:tr>
    </w:tbl>
    <w:p w:rsidR="003825EF" w:rsidRPr="000B43BC" w:rsidRDefault="003825EF" w:rsidP="00382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25EF" w:rsidRPr="00F41F07" w:rsidRDefault="003825EF" w:rsidP="00382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F41F07">
        <w:rPr>
          <w:b/>
        </w:rPr>
        <w:t>UKUPNI MANJAK PRIHODA:</w:t>
      </w:r>
      <w:r w:rsidRPr="00F41F07">
        <w:rPr>
          <w:b/>
        </w:rPr>
        <w:tab/>
      </w:r>
      <w:r w:rsidRPr="00F41F07">
        <w:rPr>
          <w:b/>
        </w:rPr>
        <w:tab/>
      </w:r>
      <w:r w:rsidRPr="00F41F07">
        <w:rPr>
          <w:b/>
        </w:rPr>
        <w:tab/>
      </w:r>
      <w:r w:rsidRPr="00F41F07">
        <w:rPr>
          <w:b/>
        </w:rPr>
        <w:tab/>
      </w:r>
      <w:r w:rsidRPr="00F41F07">
        <w:rPr>
          <w:b/>
        </w:rPr>
        <w:tab/>
      </w:r>
      <w:r w:rsidRPr="00F41F07">
        <w:rPr>
          <w:b/>
        </w:rPr>
        <w:tab/>
      </w:r>
      <w:r w:rsidRPr="00F41F07">
        <w:rPr>
          <w:b/>
        </w:rPr>
        <w:tab/>
        <w:t xml:space="preserve">      - 7.520,03 </w:t>
      </w:r>
    </w:p>
    <w:p w:rsidR="003825EF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  <w:rPr>
          <w:b/>
          <w:i/>
        </w:rPr>
      </w:pPr>
      <w:r w:rsidRPr="000B43BC">
        <w:t xml:space="preserve">Razlikom između prihoda poslovanja i prihoda od </w:t>
      </w:r>
      <w:r>
        <w:t xml:space="preserve">prodaje </w:t>
      </w:r>
      <w:r w:rsidRPr="000B43BC">
        <w:t>nefinancijske i</w:t>
      </w:r>
      <w:r>
        <w:t>movine u odnosu na rashode posl</w:t>
      </w:r>
      <w:r w:rsidRPr="000B43BC">
        <w:t>o</w:t>
      </w:r>
      <w:r>
        <w:t>v</w:t>
      </w:r>
      <w:r w:rsidRPr="000B43BC">
        <w:t xml:space="preserve">anja </w:t>
      </w:r>
      <w:r>
        <w:t xml:space="preserve">i rashode za nabavu nefinancijske imovine </w:t>
      </w:r>
      <w:r w:rsidRPr="000B43BC">
        <w:t>rezultiralo je manjk</w:t>
      </w:r>
      <w:r>
        <w:t>om prihoda.</w:t>
      </w:r>
      <w:r>
        <w:rPr>
          <w:b/>
          <w:i/>
        </w:rPr>
        <w:t xml:space="preserve"> </w:t>
      </w:r>
    </w:p>
    <w:p w:rsidR="003825EF" w:rsidRDefault="003825EF" w:rsidP="003825EF">
      <w:pPr>
        <w:spacing w:line="360" w:lineRule="auto"/>
        <w:jc w:val="both"/>
        <w:rPr>
          <w:b/>
          <w:i/>
        </w:rPr>
      </w:pPr>
    </w:p>
    <w:p w:rsidR="003825EF" w:rsidRPr="001943E7" w:rsidRDefault="003825EF" w:rsidP="003825EF">
      <w:pPr>
        <w:spacing w:line="360" w:lineRule="auto"/>
        <w:jc w:val="both"/>
        <w:rPr>
          <w:b/>
          <w:i/>
        </w:rPr>
      </w:pPr>
      <w:r w:rsidRPr="001943E7">
        <w:rPr>
          <w:b/>
          <w:i/>
        </w:rPr>
        <w:t xml:space="preserve">Tablica </w:t>
      </w:r>
      <w:r>
        <w:rPr>
          <w:b/>
          <w:i/>
        </w:rPr>
        <w:t>2</w:t>
      </w:r>
      <w:r w:rsidRPr="001943E7">
        <w:rPr>
          <w:b/>
          <w:i/>
        </w:rPr>
        <w:t>. Pregled najznačajnijih odstupanja u odnosu na isto razdoblje prethodne godine</w:t>
      </w:r>
    </w:p>
    <w:tbl>
      <w:tblPr>
        <w:tblpPr w:leftFromText="180" w:rightFromText="180" w:vertAnchor="text" w:tblpY="1"/>
        <w:tblOverlap w:val="never"/>
        <w:tblW w:w="9408" w:type="dxa"/>
        <w:tblLook w:val="04A0" w:firstRow="1" w:lastRow="0" w:firstColumn="1" w:lastColumn="0" w:noHBand="0" w:noVBand="1"/>
      </w:tblPr>
      <w:tblGrid>
        <w:gridCol w:w="1208"/>
        <w:gridCol w:w="2396"/>
        <w:gridCol w:w="1716"/>
        <w:gridCol w:w="4088"/>
      </w:tblGrid>
      <w:tr w:rsidR="003825EF" w:rsidRPr="002C4660" w:rsidTr="006351D5">
        <w:trPr>
          <w:trHeight w:val="6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2C4660" w:rsidRDefault="003825EF" w:rsidP="006351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2C4660" w:rsidRDefault="003825EF" w:rsidP="006351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4660">
              <w:rPr>
                <w:b/>
                <w:bCs/>
                <w:i/>
                <w:iCs/>
                <w:color w:val="000000"/>
              </w:rPr>
              <w:t>Naziv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2C4660" w:rsidRDefault="003825EF" w:rsidP="006351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4660">
              <w:rPr>
                <w:b/>
                <w:bCs/>
                <w:i/>
                <w:iCs/>
                <w:color w:val="000000"/>
              </w:rPr>
              <w:t>Iznos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2C4660" w:rsidRDefault="003825EF" w:rsidP="006351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4660">
              <w:rPr>
                <w:b/>
                <w:bCs/>
                <w:i/>
                <w:iCs/>
                <w:color w:val="000000"/>
              </w:rPr>
              <w:t>Obrazloženje</w:t>
            </w:r>
          </w:p>
        </w:tc>
      </w:tr>
      <w:tr w:rsidR="003825EF" w:rsidRPr="002C4660" w:rsidTr="006351D5">
        <w:trPr>
          <w:trHeight w:val="140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6361 - Pomoći iz proračuna koji im nije nadležan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1.111.323,16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Prihodi su veći za 23,2% zbog povećanja plaća zaposlenika.</w:t>
            </w:r>
          </w:p>
        </w:tc>
      </w:tr>
      <w:tr w:rsidR="003825EF" w:rsidRPr="002C4660" w:rsidTr="006351D5">
        <w:trPr>
          <w:trHeight w:val="1842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Pr="00A754C3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A754C3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6362 - Kapitalne pomoći proračunskim korisnicima iz proračuna koji im nije nadležan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A754C3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2.511,27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A754C3" w:rsidRDefault="003825EF" w:rsidP="006351D5">
            <w:pPr>
              <w:rPr>
                <w:color w:val="000000"/>
              </w:rPr>
            </w:pPr>
            <w:r>
              <w:rPr>
                <w:color w:val="000000"/>
              </w:rPr>
              <w:t>Primljena su sredstva od strane MZO za nabavu školskih udžbenika koja koriste učenici</w:t>
            </w:r>
          </w:p>
        </w:tc>
      </w:tr>
      <w:tr w:rsidR="003825EF" w:rsidRPr="002C4660" w:rsidTr="006351D5">
        <w:trPr>
          <w:trHeight w:val="169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Pr="00392545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Pr="00392545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6381 - Tekuće pomoći temeljem prijenosa EU sredstava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Pr="00392545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5.896,34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Pr="00392545" w:rsidRDefault="003825EF" w:rsidP="006351D5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Škola je dobila novac za tekuće pomoći temeljem prijenosa EU sredstava za školsku shemu te </w:t>
            </w:r>
            <w:proofErr w:type="spellStart"/>
            <w:r>
              <w:rPr>
                <w:color w:val="000000"/>
              </w:rPr>
              <w:t>Erasmus</w:t>
            </w:r>
            <w:proofErr w:type="spellEnd"/>
            <w:r>
              <w:rPr>
                <w:color w:val="000000"/>
              </w:rPr>
              <w:t xml:space="preserve"> projekte</w:t>
            </w:r>
          </w:p>
        </w:tc>
      </w:tr>
      <w:tr w:rsidR="003825EF" w:rsidRPr="002C4660" w:rsidTr="006351D5">
        <w:trPr>
          <w:trHeight w:val="169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Pr="00392545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Pr="00392545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6526 – Ostali nespomenuti prihodi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Pr="00392545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77.468,62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Pr="00392545" w:rsidRDefault="003825EF" w:rsidP="006351D5">
            <w:pPr>
              <w:rPr>
                <w:color w:val="000000"/>
              </w:rPr>
            </w:pPr>
            <w:r w:rsidRPr="00392545">
              <w:rPr>
                <w:color w:val="000000"/>
              </w:rPr>
              <w:t>U odnosu na prethodnu godinu</w:t>
            </w:r>
            <w:r>
              <w:rPr>
                <w:color w:val="000000"/>
              </w:rPr>
              <w:t xml:space="preserve"> prihodi od sufinanciranja su smanjeni za 22,6% redovitijih uplata roditelja zbog besplatne marende </w:t>
            </w:r>
          </w:p>
        </w:tc>
      </w:tr>
      <w:tr w:rsidR="003825EF" w:rsidRPr="002C4660" w:rsidTr="006351D5">
        <w:trPr>
          <w:trHeight w:val="181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6F2F76" w:rsidRDefault="003825EF" w:rsidP="006351D5">
            <w:pPr>
              <w:ind w:firstLineChars="100" w:firstLine="24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6614 - </w:t>
            </w:r>
            <w:r w:rsidRPr="006F2F76">
              <w:rPr>
                <w:color w:val="000000"/>
              </w:rPr>
              <w:t>Prihodi od prodaje proizvoda i robe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941,01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392545" w:rsidRDefault="003825EF" w:rsidP="006351D5">
            <w:pPr>
              <w:rPr>
                <w:color w:val="000000"/>
              </w:rPr>
            </w:pPr>
            <w:r w:rsidRPr="00ED309A">
              <w:rPr>
                <w:color w:val="000000"/>
              </w:rPr>
              <w:t>Ostv</w:t>
            </w:r>
            <w:r>
              <w:rPr>
                <w:color w:val="000000"/>
              </w:rPr>
              <w:t>aren je veći prihod od prodaje</w:t>
            </w:r>
            <w:r w:rsidRPr="00ED30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 95,1% jer je održan Božićni sajam, </w:t>
            </w:r>
            <w:r w:rsidRPr="00ED309A">
              <w:rPr>
                <w:color w:val="000000"/>
              </w:rPr>
              <w:t>Učeničk</w:t>
            </w:r>
            <w:r>
              <w:rPr>
                <w:color w:val="000000"/>
              </w:rPr>
              <w:t>a zadruga i Dan škole</w:t>
            </w:r>
          </w:p>
        </w:tc>
      </w:tr>
      <w:tr w:rsidR="003825EF" w:rsidRPr="002C4660" w:rsidTr="006351D5">
        <w:trPr>
          <w:trHeight w:val="169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392545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6F2F76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6615 - </w:t>
            </w:r>
            <w:r w:rsidRPr="006F2F76">
              <w:rPr>
                <w:color w:val="000000"/>
              </w:rPr>
              <w:t xml:space="preserve">Prihodi od </w:t>
            </w:r>
            <w:r>
              <w:rPr>
                <w:color w:val="000000"/>
              </w:rPr>
              <w:t>pruženih usluga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392545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2.066,47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392545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Povećani su prihodi od pruženih usluga za 31,4% zbog najma dvorane i učionice </w:t>
            </w:r>
          </w:p>
        </w:tc>
      </w:tr>
      <w:tr w:rsidR="003825EF" w:rsidRPr="002C4660" w:rsidTr="006351D5">
        <w:trPr>
          <w:trHeight w:val="140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871149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871149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6631 - Tekuće donacije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2.365,00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Povećanje donacija za 181,8% u odnosu na prethodnu godinu</w:t>
            </w:r>
          </w:p>
        </w:tc>
      </w:tr>
      <w:tr w:rsidR="003825EF" w:rsidRPr="002C4660" w:rsidTr="006351D5">
        <w:trPr>
          <w:trHeight w:val="140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6711 – prihodi iz nadležnog proračuna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141.016,86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rPr>
                <w:color w:val="000000"/>
              </w:rPr>
            </w:pPr>
            <w:r>
              <w:rPr>
                <w:color w:val="000000"/>
              </w:rPr>
              <w:t>Povećani  su za 28,8% zbog povećanih troškova decentralizacije te plaća produženog boravka, veće božićnice</w:t>
            </w:r>
          </w:p>
        </w:tc>
      </w:tr>
      <w:tr w:rsidR="003825EF" w:rsidRPr="002C4660" w:rsidTr="006351D5">
        <w:trPr>
          <w:trHeight w:val="167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3111 - Plaće za redovan rad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844.994,99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Porast rashoda za redovni rad plaće za 15,3% zbog povećanja plaća</w:t>
            </w:r>
          </w:p>
        </w:tc>
      </w:tr>
      <w:tr w:rsidR="003825EF" w:rsidRPr="002C4660" w:rsidTr="006351D5">
        <w:trPr>
          <w:trHeight w:val="1701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312 – Ostali rashodi za zaposlene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43.410,38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Povećanje za 15,4% odnosi se na materijalna prava, pomoći koje su se također povećale u 2023.godini</w:t>
            </w:r>
          </w:p>
        </w:tc>
      </w:tr>
      <w:tr w:rsidR="003825EF" w:rsidRPr="002C4660" w:rsidTr="006351D5">
        <w:trPr>
          <w:trHeight w:val="1694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3132 - Doprinosi za zdravstveno osiguranje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143.002,18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257B10" w:rsidRDefault="003825EF" w:rsidP="006351D5">
            <w:pPr>
              <w:ind w:firstLineChars="100" w:firstLine="240"/>
              <w:rPr>
                <w:color w:val="000000"/>
                <w:highlight w:val="yellow"/>
              </w:rPr>
            </w:pPr>
            <w:r w:rsidRPr="00257B10">
              <w:rPr>
                <w:color w:val="000000"/>
              </w:rPr>
              <w:t>Zbog povećanja bruto plaća porasli su i doprinosi na plaću</w:t>
            </w:r>
            <w:r>
              <w:rPr>
                <w:color w:val="000000"/>
              </w:rPr>
              <w:t xml:space="preserve"> za zdravstveno osiguranje (15,5%)</w:t>
            </w:r>
            <w:r w:rsidRPr="00257B10">
              <w:rPr>
                <w:color w:val="000000"/>
              </w:rPr>
              <w:t>.</w:t>
            </w:r>
          </w:p>
        </w:tc>
      </w:tr>
      <w:tr w:rsidR="003825EF" w:rsidRPr="002C4660" w:rsidTr="006351D5">
        <w:trPr>
          <w:trHeight w:val="200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3222 – Materijal i sirovine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134.175,63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Povećanje za 104,4% zbog uvođenja besplatnih marendi od MZO-a (1,33 eura po djetetu)</w:t>
            </w:r>
          </w:p>
        </w:tc>
      </w:tr>
      <w:tr w:rsidR="003825EF" w:rsidRPr="002C4660" w:rsidTr="006351D5">
        <w:trPr>
          <w:trHeight w:val="200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3223 – Energija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30.110,19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Energija na prošlogodišnjoj razini </w:t>
            </w:r>
          </w:p>
        </w:tc>
      </w:tr>
      <w:tr w:rsidR="003825EF" w:rsidRPr="002C4660" w:rsidTr="006351D5">
        <w:trPr>
          <w:trHeight w:val="200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3224 – Materijal i dijelovi za tekuće i investicijsko održavanje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1.529,14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Povećanje za 104,3% odnose se na održavanje škole</w:t>
            </w:r>
          </w:p>
        </w:tc>
      </w:tr>
      <w:tr w:rsidR="003825EF" w:rsidRPr="002C4660" w:rsidTr="006351D5">
        <w:trPr>
          <w:trHeight w:val="200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3225 – Sitni inventar i auto gume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1.250,00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Porast rashoda za 415,5% jer škola u 2022. nije imala potrebu za nabavku istog, a u 2023. su kupljena dva stolna računala</w:t>
            </w:r>
          </w:p>
        </w:tc>
      </w:tr>
      <w:tr w:rsidR="003825EF" w:rsidRPr="002C4660" w:rsidTr="006351D5">
        <w:trPr>
          <w:trHeight w:val="200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3227 – Službena, radna i zaštitna odjeća i obuća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542,60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Porast rashoda za 72,7% jer je tehničko osoblje imao pravo na kupnju službene odjeće i obuće</w:t>
            </w:r>
          </w:p>
        </w:tc>
      </w:tr>
      <w:tr w:rsidR="003825EF" w:rsidRPr="002C4660" w:rsidTr="006351D5">
        <w:trPr>
          <w:trHeight w:val="155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3231 - Usluge telefona, pošte i prijevoza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3.162,63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Troškovi telefona, pošte i prijevoza smanjeni su za 16,4% </w:t>
            </w:r>
          </w:p>
        </w:tc>
      </w:tr>
      <w:tr w:rsidR="003825EF" w:rsidRPr="002C4660" w:rsidTr="006351D5">
        <w:trPr>
          <w:trHeight w:val="1411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3232 - Usluge tekućeg i investicijskog održavanja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5.910,24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Povećani su troškovi za 30,7% jer ovu godinu škola zbog renoviranja učionica te izvanrednih održavanja.</w:t>
            </w:r>
          </w:p>
        </w:tc>
      </w:tr>
      <w:tr w:rsidR="003825EF" w:rsidRPr="002C4660" w:rsidTr="006351D5">
        <w:trPr>
          <w:trHeight w:val="169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3234 - Komunalne usluge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3.830,21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Smanjeni</w:t>
            </w:r>
            <w:r w:rsidRPr="00ED309A">
              <w:rPr>
                <w:color w:val="000000"/>
              </w:rPr>
              <w:t xml:space="preserve"> su troškovi za komunalne usluge </w:t>
            </w:r>
            <w:r>
              <w:rPr>
                <w:color w:val="000000"/>
              </w:rPr>
              <w:t>za 32,6%, cijena je ostala ista kao prethodne godine</w:t>
            </w:r>
          </w:p>
        </w:tc>
      </w:tr>
      <w:tr w:rsidR="003825EF" w:rsidRPr="002C4660" w:rsidTr="006351D5">
        <w:trPr>
          <w:trHeight w:val="169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3235 – Zakupnine i najamnine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1.852,24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Smanjenje za 22,6% zbog kupnji licenci u siječnju 2024.</w:t>
            </w:r>
          </w:p>
        </w:tc>
      </w:tr>
      <w:tr w:rsidR="003825EF" w:rsidRPr="002C4660" w:rsidTr="006351D5">
        <w:trPr>
          <w:trHeight w:val="155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3236 - Zdravstvene i veterinarske usluge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1.770,51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Manji troškovi u odnosu na prethodnu </w:t>
            </w:r>
            <w:proofErr w:type="spellStart"/>
            <w:r>
              <w:rPr>
                <w:color w:val="000000"/>
              </w:rPr>
              <w:t>covid</w:t>
            </w:r>
            <w:proofErr w:type="spellEnd"/>
            <w:r>
              <w:rPr>
                <w:color w:val="000000"/>
              </w:rPr>
              <w:t xml:space="preserve"> godinu za 61,5%</w:t>
            </w:r>
          </w:p>
        </w:tc>
      </w:tr>
      <w:tr w:rsidR="003825EF" w:rsidRPr="002C4660" w:rsidTr="006351D5">
        <w:trPr>
          <w:trHeight w:val="169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3237 - Intelektualne i osobne usluge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862932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4.300,56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Pr="00862932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Smanjenje gotovo 50% u odnosu na prethodnu godinu</w:t>
            </w:r>
          </w:p>
        </w:tc>
      </w:tr>
      <w:tr w:rsidR="003825EF" w:rsidRPr="002C4660" w:rsidTr="006351D5">
        <w:trPr>
          <w:trHeight w:val="1261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3238 - Računalne usluge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3.765,44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rPr>
                <w:color w:val="000000"/>
              </w:rPr>
            </w:pPr>
            <w:r>
              <w:rPr>
                <w:color w:val="000000"/>
              </w:rPr>
              <w:t xml:space="preserve">Povećanje za 247,1%, nabava </w:t>
            </w:r>
            <w:proofErr w:type="spellStart"/>
            <w:r>
              <w:rPr>
                <w:color w:val="000000"/>
              </w:rPr>
              <w:t>Cloud</w:t>
            </w:r>
            <w:proofErr w:type="spellEnd"/>
            <w:r>
              <w:rPr>
                <w:color w:val="000000"/>
              </w:rPr>
              <w:t xml:space="preserve">  aplikacije te održavanje postojećih</w:t>
            </w:r>
          </w:p>
        </w:tc>
      </w:tr>
      <w:tr w:rsidR="003825EF" w:rsidRPr="002C4660" w:rsidTr="006351D5">
        <w:trPr>
          <w:trHeight w:val="112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3239 - Ostale usluge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15.151,25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Veće su za 180,6% jer je bilo potrebno izvršiti periodičko ispitivanje instalacija i radne opreme te tisak kataloga iz likovnog kojeg je financirala Županija</w:t>
            </w:r>
            <w:r w:rsidRPr="00862932">
              <w:rPr>
                <w:color w:val="000000"/>
              </w:rPr>
              <w:t>.</w:t>
            </w:r>
          </w:p>
        </w:tc>
      </w:tr>
      <w:tr w:rsidR="003825EF" w:rsidRPr="002C4660" w:rsidTr="006351D5">
        <w:trPr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3294 – Članarine i norme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66,36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rPr>
                <w:color w:val="000000"/>
              </w:rPr>
            </w:pPr>
            <w:r>
              <w:rPr>
                <w:color w:val="000000"/>
              </w:rPr>
              <w:t>Povećanje članarina za 400,1% u odnosu na 2022.godinu, uplata članarine za učeničku zadrugu i udrugu ravnatelja</w:t>
            </w:r>
          </w:p>
        </w:tc>
      </w:tr>
      <w:tr w:rsidR="003825EF" w:rsidRPr="002C4660" w:rsidTr="006351D5">
        <w:trPr>
          <w:trHeight w:val="168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3296 – Troškovi sudskih postupaka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9.851,79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Povećanje n</w:t>
            </w:r>
            <w:r w:rsidRPr="00862932">
              <w:rPr>
                <w:color w:val="000000"/>
              </w:rPr>
              <w:t xml:space="preserve">aknada </w:t>
            </w:r>
            <w:r>
              <w:rPr>
                <w:color w:val="000000"/>
              </w:rPr>
              <w:t xml:space="preserve">u ukupnom iznosu s obzirom da troška nije bilo prethodne godine a odnosi se  na troškove plaća za tužbe koje škola ima od strane zaposlenika za osnovicu od 6%. </w:t>
            </w:r>
          </w:p>
        </w:tc>
      </w:tr>
      <w:tr w:rsidR="003825EF" w:rsidRPr="002C4660" w:rsidTr="006351D5">
        <w:trPr>
          <w:trHeight w:val="168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3431 – Bankarske usluge i usluge platnog prometa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160,15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rPr>
                <w:color w:val="000000"/>
              </w:rPr>
            </w:pPr>
            <w:r>
              <w:rPr>
                <w:color w:val="000000"/>
              </w:rPr>
              <w:t>Na prošlogodišnjoj razini su rashodi</w:t>
            </w:r>
          </w:p>
        </w:tc>
      </w:tr>
      <w:tr w:rsidR="003825EF" w:rsidRPr="002C4660" w:rsidTr="006351D5">
        <w:trPr>
          <w:trHeight w:val="127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3433 - Zatezne kamate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8.061,37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rPr>
                <w:color w:val="000000"/>
              </w:rPr>
            </w:pPr>
            <w:r>
              <w:rPr>
                <w:color w:val="000000"/>
              </w:rPr>
              <w:t>Ogroman porast zateznih kamate kao posljedica isplata kamata za plaće po sudskim presudama</w:t>
            </w:r>
          </w:p>
        </w:tc>
      </w:tr>
      <w:tr w:rsidR="003825EF" w:rsidRPr="002C4660" w:rsidTr="006351D5">
        <w:trPr>
          <w:trHeight w:val="11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3722 - Naknade građanima i kućanstvima u naravi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31.665,62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rPr>
                <w:color w:val="000000"/>
              </w:rPr>
            </w:pPr>
            <w:r w:rsidRPr="00862932">
              <w:rPr>
                <w:color w:val="000000"/>
              </w:rPr>
              <w:t xml:space="preserve">Povećane su </w:t>
            </w:r>
            <w:r>
              <w:rPr>
                <w:color w:val="000000"/>
              </w:rPr>
              <w:t>za 84,6% zbog nabave radnih materijala za djecu koje</w:t>
            </w:r>
            <w:r w:rsidRPr="00862932">
              <w:rPr>
                <w:color w:val="000000"/>
              </w:rPr>
              <w:t xml:space="preserve"> financira MZO.</w:t>
            </w:r>
          </w:p>
        </w:tc>
      </w:tr>
      <w:tr w:rsidR="003825EF" w:rsidRPr="002C4660" w:rsidTr="006351D5">
        <w:trPr>
          <w:trHeight w:val="11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3812 – Tekuće donacije u naravi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884,98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Pr="00862932" w:rsidRDefault="003825EF" w:rsidP="006351D5">
            <w:pPr>
              <w:rPr>
                <w:color w:val="000000"/>
              </w:rPr>
            </w:pPr>
            <w:r>
              <w:rPr>
                <w:color w:val="000000"/>
              </w:rPr>
              <w:t>Donacija za nabavu higijenskih uložaka financirano od strane PGŽ</w:t>
            </w:r>
          </w:p>
        </w:tc>
      </w:tr>
      <w:tr w:rsidR="003825EF" w:rsidRPr="002C4660" w:rsidTr="006351D5">
        <w:trPr>
          <w:trHeight w:val="200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Manjak prihoda poslovanja-preneseni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862932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12.570,04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862932" w:rsidRDefault="003825EF" w:rsidP="006351D5">
            <w:pPr>
              <w:rPr>
                <w:color w:val="000000"/>
              </w:rPr>
            </w:pPr>
            <w:r>
              <w:rPr>
                <w:color w:val="000000"/>
              </w:rPr>
              <w:t xml:space="preserve">Manjak prihoda poslovanja jer je po projektu </w:t>
            </w:r>
            <w:proofErr w:type="spellStart"/>
            <w:r>
              <w:rPr>
                <w:color w:val="000000"/>
              </w:rPr>
              <w:t>Erasmus</w:t>
            </w:r>
            <w:proofErr w:type="spellEnd"/>
            <w:r>
              <w:rPr>
                <w:color w:val="000000"/>
              </w:rPr>
              <w:t xml:space="preserve"> potrošeno više novaca nego je Škola imala, te bi prihodi trebali biti refundirani u 2023.</w:t>
            </w:r>
          </w:p>
        </w:tc>
      </w:tr>
      <w:tr w:rsidR="003825EF" w:rsidRPr="002C4660" w:rsidTr="006351D5">
        <w:trPr>
          <w:trHeight w:val="1552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Manjak prihoda poslovanja 2023.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7.520,03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862932" w:rsidRDefault="003825EF" w:rsidP="006351D5">
            <w:pPr>
              <w:rPr>
                <w:color w:val="000000"/>
              </w:rPr>
            </w:pPr>
            <w:r>
              <w:rPr>
                <w:color w:val="000000"/>
              </w:rPr>
              <w:t>Manjak je nastao kao posljedica rashoda za nabavu nefinancijske imovine u ukupnom iznosu 12.393,05 eura</w:t>
            </w:r>
          </w:p>
        </w:tc>
      </w:tr>
      <w:tr w:rsidR="003825EF" w:rsidRPr="002C4660" w:rsidTr="006351D5">
        <w:trPr>
          <w:trHeight w:val="1687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7211 - Stambeni objekti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37,14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rPr>
                <w:color w:val="000000"/>
              </w:rPr>
            </w:pPr>
            <w:r w:rsidRPr="00862932">
              <w:rPr>
                <w:color w:val="000000"/>
              </w:rPr>
              <w:t xml:space="preserve">Prihodi su </w:t>
            </w:r>
            <w:r>
              <w:rPr>
                <w:color w:val="000000"/>
              </w:rPr>
              <w:t>manji zbog manjih</w:t>
            </w:r>
            <w:r w:rsidRPr="00862932">
              <w:rPr>
                <w:color w:val="000000"/>
              </w:rPr>
              <w:t xml:space="preserve"> uplata koje uplaćuju korisnici koji su otkupili stanove.</w:t>
            </w:r>
            <w:r>
              <w:rPr>
                <w:color w:val="000000"/>
              </w:rPr>
              <w:t xml:space="preserve"> Svi stanovi su otplaćeni zaključno u 2023.godini</w:t>
            </w:r>
          </w:p>
        </w:tc>
      </w:tr>
      <w:tr w:rsidR="003825EF" w:rsidRPr="002C4660" w:rsidTr="006351D5">
        <w:trPr>
          <w:trHeight w:val="1544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422 – Postrojenja i oprema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9.881,78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Povećanje rashoda za 654,0% jer je školi ove godine dodijeljeno 10.000,00  eura za kupnju kapitalne opreme.</w:t>
            </w:r>
          </w:p>
        </w:tc>
      </w:tr>
      <w:tr w:rsidR="003825EF" w:rsidRPr="002C4660" w:rsidTr="006351D5">
        <w:trPr>
          <w:trHeight w:val="1552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4241 - Knjige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2.511,27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Povećani su rashodi za 11,8% zbog nešto većeg broja djece u odnosu na 2022.godinu</w:t>
            </w:r>
          </w:p>
        </w:tc>
      </w:tr>
      <w:tr w:rsidR="003825EF" w:rsidRPr="002C4660" w:rsidTr="006351D5">
        <w:trPr>
          <w:trHeight w:val="1688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392545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392545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11 – stanje novčanih sredstava na kraju izvještajnog razdoblja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392545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1.690,62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rPr>
                <w:color w:val="000000"/>
              </w:rPr>
            </w:pPr>
            <w:r w:rsidRPr="00ED309A">
              <w:rPr>
                <w:color w:val="000000"/>
              </w:rPr>
              <w:t xml:space="preserve">Priljevi su </w:t>
            </w:r>
            <w:r>
              <w:rPr>
                <w:color w:val="000000"/>
              </w:rPr>
              <w:t>povećani zbog toga što se koristio račun škole za isplatu plaća po sudskim presudama</w:t>
            </w:r>
          </w:p>
        </w:tc>
      </w:tr>
      <w:tr w:rsidR="003825EF" w:rsidRPr="002C4660" w:rsidTr="006351D5">
        <w:trPr>
          <w:trHeight w:val="1401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63612 – Tekuće pomoći iz državnog proračuna proračunskim korisnicima proračuna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1.109.940,11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Povećani su za 7,4% najvećim zbog povećanja bruto plaća za zaposlenike i refundacija za COVID testiranja.</w:t>
            </w:r>
          </w:p>
        </w:tc>
      </w:tr>
      <w:tr w:rsidR="003825EF" w:rsidRPr="002C4660" w:rsidTr="006351D5">
        <w:trPr>
          <w:trHeight w:val="1401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63613 – Tekuće pomoći proračunskim korisnicima iz proračuna JPL(R)S koji im nije nadležan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1.383,05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Povećanje za 60,2% jer je Škola dobila više sredstava od Županije za provedbu županijskog natjecanja iz likovnog.</w:t>
            </w:r>
          </w:p>
        </w:tc>
      </w:tr>
      <w:tr w:rsidR="003825EF" w:rsidRPr="002C4660" w:rsidTr="006351D5">
        <w:trPr>
          <w:trHeight w:val="168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63622 – Kapitalne pomoći iz državnog proračuna proračunskim korisnicima proračuna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2.511,27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Povećane su za 11,8% odnose se na  nabavljene udžbenike za učenike.</w:t>
            </w:r>
          </w:p>
        </w:tc>
      </w:tr>
      <w:tr w:rsidR="003825EF" w:rsidRPr="002C4660" w:rsidTr="006351D5">
        <w:trPr>
          <w:trHeight w:val="168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63811 – Tekuće pomoći iz </w:t>
            </w:r>
            <w:proofErr w:type="spellStart"/>
            <w:r>
              <w:rPr>
                <w:color w:val="000000"/>
              </w:rPr>
              <w:t>drž</w:t>
            </w:r>
            <w:proofErr w:type="spellEnd"/>
            <w:r>
              <w:rPr>
                <w:color w:val="000000"/>
              </w:rPr>
              <w:t>. proračuna temeljem prijenosa EU sredstava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5.896,34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Škola je dobila novac za školsku shemu te za </w:t>
            </w:r>
            <w:proofErr w:type="spellStart"/>
            <w:r>
              <w:rPr>
                <w:color w:val="000000"/>
              </w:rPr>
              <w:t>Erasmus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825EF" w:rsidRPr="002C4660" w:rsidTr="006351D5">
        <w:trPr>
          <w:trHeight w:val="1686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65264 - Sufinanciranje cijene usluge, participacije i slično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76.554,02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 w:rsidRPr="00ED309A">
              <w:rPr>
                <w:color w:val="000000"/>
              </w:rPr>
              <w:t xml:space="preserve">Prihodi su </w:t>
            </w:r>
            <w:r>
              <w:rPr>
                <w:color w:val="000000"/>
              </w:rPr>
              <w:t xml:space="preserve">smanjeni za 22,8% </w:t>
            </w:r>
            <w:r w:rsidRPr="00ED309A">
              <w:rPr>
                <w:color w:val="000000"/>
              </w:rPr>
              <w:t xml:space="preserve">zbog </w:t>
            </w:r>
            <w:r>
              <w:rPr>
                <w:color w:val="000000"/>
              </w:rPr>
              <w:t>marendi koje su na teret Ministarstva</w:t>
            </w:r>
          </w:p>
        </w:tc>
      </w:tr>
      <w:tr w:rsidR="003825EF" w:rsidRPr="002C4660" w:rsidTr="006351D5">
        <w:trPr>
          <w:trHeight w:val="1552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31214 – Otpremnine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Pr="00416B75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2.157,99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Pr="00ED309A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Rashodi su nešto manji od prethodne godine i odnose se na isplaćenu otpremninu djelatnici koja je otišla u mirovinu.</w:t>
            </w:r>
          </w:p>
        </w:tc>
      </w:tr>
      <w:tr w:rsidR="003825EF" w:rsidRPr="002C4660" w:rsidTr="006351D5">
        <w:trPr>
          <w:trHeight w:val="1552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32121 – Naknade za prijevoz na posao i s posla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4.799,68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Povećanje za 78,3% zbog isplate zaostalih putnih troškova zaposlenicima iz prethodnih godina.</w:t>
            </w:r>
          </w:p>
        </w:tc>
      </w:tr>
      <w:tr w:rsidR="003825EF" w:rsidRPr="002C4660" w:rsidTr="006351D5">
        <w:trPr>
          <w:trHeight w:val="1424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32361 - Obvezni i preventivni zdravstveni pregledi zaposlenika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1.573,39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 xml:space="preserve">Manji troškovi u odnosu na 2022.godinu prema </w:t>
            </w:r>
          </w:p>
        </w:tc>
      </w:tr>
      <w:tr w:rsidR="003825EF" w:rsidRPr="002C4660" w:rsidTr="006351D5">
        <w:trPr>
          <w:trHeight w:val="1542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32372 – Ugovori o djelu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2.163,53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  <w:highlight w:val="yellow"/>
              </w:rPr>
            </w:pPr>
            <w:r w:rsidRPr="00DC1F1B">
              <w:rPr>
                <w:color w:val="000000"/>
              </w:rPr>
              <w:t xml:space="preserve">Škola je </w:t>
            </w:r>
            <w:r>
              <w:rPr>
                <w:color w:val="000000"/>
              </w:rPr>
              <w:t>zadržala rashode na prošlogodišnjoj razini, Stručni ispiti, Županijsko natjecanje te potreba za kadrom tajnika</w:t>
            </w:r>
          </w:p>
        </w:tc>
      </w:tr>
      <w:tr w:rsidR="003825EF" w:rsidRPr="002C4660" w:rsidTr="006351D5">
        <w:trPr>
          <w:trHeight w:val="1542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32923 – Premije osiguranja zaposleni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31,82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EF" w:rsidRPr="00DC1F1B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Škola je imala rashod za osiguranje zaposlenika u produženom boravku kao i 2022.godine</w:t>
            </w:r>
          </w:p>
        </w:tc>
      </w:tr>
      <w:tr w:rsidR="003825EF" w:rsidRPr="002C4660" w:rsidTr="006351D5">
        <w:trPr>
          <w:trHeight w:val="155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37229 - Ostale naknade iz proračuna u naravi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EF" w:rsidRDefault="003825EF" w:rsidP="006351D5">
            <w:pPr>
              <w:ind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31.665,62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EF" w:rsidRDefault="003825EF" w:rsidP="006351D5">
            <w:pPr>
              <w:rPr>
                <w:color w:val="000000"/>
                <w:highlight w:val="yellow"/>
              </w:rPr>
            </w:pPr>
            <w:r w:rsidRPr="00862932">
              <w:rPr>
                <w:color w:val="000000"/>
              </w:rPr>
              <w:t xml:space="preserve">Povećane su </w:t>
            </w:r>
            <w:r>
              <w:rPr>
                <w:color w:val="000000"/>
              </w:rPr>
              <w:t>za 84,6% zbog nabave radnih materijala za djecu koje</w:t>
            </w:r>
            <w:r w:rsidRPr="00862932">
              <w:rPr>
                <w:color w:val="000000"/>
              </w:rPr>
              <w:t xml:space="preserve"> financira MZO.</w:t>
            </w:r>
          </w:p>
        </w:tc>
      </w:tr>
    </w:tbl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Default="003825EF" w:rsidP="003825EF">
      <w:pPr>
        <w:jc w:val="center"/>
        <w:rPr>
          <w:b/>
          <w:sz w:val="32"/>
          <w:szCs w:val="32"/>
        </w:rPr>
      </w:pPr>
      <w:r w:rsidRPr="00E55143">
        <w:rPr>
          <w:b/>
          <w:sz w:val="32"/>
          <w:szCs w:val="32"/>
        </w:rPr>
        <w:t>Bilješke uz obrazac BIL</w:t>
      </w:r>
      <w:r>
        <w:rPr>
          <w:b/>
          <w:sz w:val="32"/>
          <w:szCs w:val="32"/>
        </w:rPr>
        <w:t>ANCA</w:t>
      </w:r>
    </w:p>
    <w:p w:rsidR="003825EF" w:rsidRDefault="003825EF" w:rsidP="003825EF">
      <w:pPr>
        <w:jc w:val="center"/>
        <w:rPr>
          <w:b/>
          <w:sz w:val="32"/>
          <w:szCs w:val="32"/>
        </w:rPr>
      </w:pPr>
    </w:p>
    <w:p w:rsidR="003825EF" w:rsidRPr="00E55143" w:rsidRDefault="003825EF" w:rsidP="003825EF">
      <w:pPr>
        <w:jc w:val="center"/>
        <w:rPr>
          <w:b/>
          <w:sz w:val="32"/>
          <w:szCs w:val="32"/>
        </w:rPr>
      </w:pPr>
    </w:p>
    <w:p w:rsidR="003825EF" w:rsidRPr="00E55143" w:rsidRDefault="003825EF" w:rsidP="003825EF">
      <w:pPr>
        <w:spacing w:line="360" w:lineRule="auto"/>
        <w:jc w:val="both"/>
      </w:pPr>
      <w:r w:rsidRPr="00E55143">
        <w:t>Na dan 31.12.202</w:t>
      </w:r>
      <w:r>
        <w:t>3</w:t>
      </w:r>
      <w:r w:rsidRPr="00E55143">
        <w:t xml:space="preserve">. godine stanje nefinancijske imovine iznosi </w:t>
      </w:r>
      <w:r>
        <w:t>223.700,25 eura</w:t>
      </w:r>
      <w:r w:rsidRPr="00E55143">
        <w:t>, te se ona neznatno smanjila u odnosu na stanje 01.01.202</w:t>
      </w:r>
      <w:r>
        <w:t>3</w:t>
      </w:r>
      <w:r w:rsidRPr="00E55143">
        <w:t xml:space="preserve">. godine. Izvršen </w:t>
      </w:r>
      <w:r>
        <w:t xml:space="preserve">je </w:t>
      </w:r>
      <w:r w:rsidRPr="00E55143">
        <w:t>ispravak vrijednosti građevinskih objekata, postrojenja i opreme</w:t>
      </w:r>
      <w:r>
        <w:t xml:space="preserve"> i rashod opreme i sitnog inventara</w:t>
      </w:r>
      <w:r w:rsidRPr="00E55143">
        <w:t xml:space="preserve">. </w:t>
      </w:r>
    </w:p>
    <w:p w:rsidR="003825EF" w:rsidRPr="00E55143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  <w:r w:rsidRPr="00085ED5">
        <w:rPr>
          <w:b/>
          <w:i/>
        </w:rPr>
        <w:t xml:space="preserve">02 </w:t>
      </w:r>
      <w:r>
        <w:t xml:space="preserve">- </w:t>
      </w:r>
      <w:r w:rsidRPr="00EA5951">
        <w:t>P</w:t>
      </w:r>
      <w:r>
        <w:t>roizvedena dugotrajna imovina se u odnosu na 01.01.2023. smanjila za 6,9% jer je kroz 2023. nabavljeno manje dugotrajne imovine odnosno manje vrijednosti.</w:t>
      </w:r>
    </w:p>
    <w:p w:rsidR="003825EF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  <w:r w:rsidRPr="00085ED5">
        <w:rPr>
          <w:b/>
          <w:i/>
        </w:rPr>
        <w:t>0223 –</w:t>
      </w:r>
      <w:r>
        <w:t xml:space="preserve"> nema promjene u odnosu na prošlu godinu</w:t>
      </w:r>
    </w:p>
    <w:p w:rsidR="003825EF" w:rsidRPr="00E55143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  <w:r>
        <w:rPr>
          <w:b/>
          <w:i/>
        </w:rPr>
        <w:t>0226</w:t>
      </w:r>
      <w:r w:rsidRPr="00E55143">
        <w:rPr>
          <w:b/>
          <w:i/>
        </w:rPr>
        <w:t xml:space="preserve"> </w:t>
      </w:r>
      <w:r w:rsidRPr="00E55143">
        <w:rPr>
          <w:i/>
        </w:rPr>
        <w:t xml:space="preserve">– </w:t>
      </w:r>
      <w:r>
        <w:t>nema promjene u odnosu na prošlu godinu</w:t>
      </w:r>
    </w:p>
    <w:p w:rsidR="003825EF" w:rsidRPr="00E55143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  <w:r>
        <w:rPr>
          <w:b/>
          <w:i/>
        </w:rPr>
        <w:t>042</w:t>
      </w:r>
      <w:r w:rsidRPr="00E55143">
        <w:rPr>
          <w:b/>
          <w:i/>
        </w:rPr>
        <w:t xml:space="preserve"> </w:t>
      </w:r>
      <w:r w:rsidRPr="00E55143">
        <w:rPr>
          <w:i/>
        </w:rPr>
        <w:t xml:space="preserve">– </w:t>
      </w:r>
      <w:r w:rsidRPr="00E55143">
        <w:t xml:space="preserve">Vrijednost sitnog inventara se </w:t>
      </w:r>
      <w:r>
        <w:t>povećala</w:t>
      </w:r>
      <w:r w:rsidRPr="00E55143">
        <w:t xml:space="preserve"> za </w:t>
      </w:r>
      <w:r>
        <w:t>3,4</w:t>
      </w:r>
      <w:r w:rsidRPr="00E55143">
        <w:t xml:space="preserve">% zbog </w:t>
      </w:r>
      <w:r>
        <w:t>nabave u 2023.godini</w:t>
      </w:r>
    </w:p>
    <w:p w:rsidR="003825EF" w:rsidRDefault="003825EF" w:rsidP="003825EF">
      <w:pPr>
        <w:spacing w:line="360" w:lineRule="auto"/>
        <w:jc w:val="both"/>
      </w:pPr>
    </w:p>
    <w:p w:rsidR="003825EF" w:rsidRPr="00E55143" w:rsidRDefault="003825EF" w:rsidP="003825EF">
      <w:pPr>
        <w:spacing w:line="360" w:lineRule="auto"/>
        <w:jc w:val="both"/>
      </w:pPr>
      <w:r>
        <w:rPr>
          <w:b/>
          <w:i/>
        </w:rPr>
        <w:lastRenderedPageBreak/>
        <w:t>129</w:t>
      </w:r>
      <w:r w:rsidRPr="00E55143">
        <w:rPr>
          <w:b/>
          <w:i/>
        </w:rPr>
        <w:t xml:space="preserve"> </w:t>
      </w:r>
      <w:r w:rsidRPr="00E55143">
        <w:rPr>
          <w:i/>
        </w:rPr>
        <w:t xml:space="preserve">– </w:t>
      </w:r>
      <w:r w:rsidRPr="00E55143">
        <w:t xml:space="preserve">Ostala potraživanja su </w:t>
      </w:r>
      <w:r>
        <w:t>smanjila u odnosu na 2022.godinu, veći dio</w:t>
      </w:r>
      <w:r w:rsidRPr="00E55143">
        <w:t xml:space="preserve"> potraživanja </w:t>
      </w:r>
      <w:r>
        <w:t xml:space="preserve">se odnosi i na potraživanja za bolovanja duža od 42 dana </w:t>
      </w:r>
      <w:r w:rsidRPr="00E55143">
        <w:t>od HZZO-a.</w:t>
      </w:r>
    </w:p>
    <w:p w:rsidR="003825EF" w:rsidRPr="00E55143" w:rsidRDefault="003825EF" w:rsidP="003825EF">
      <w:pPr>
        <w:spacing w:line="360" w:lineRule="auto"/>
        <w:jc w:val="both"/>
        <w:rPr>
          <w:b/>
          <w:i/>
        </w:rPr>
      </w:pPr>
    </w:p>
    <w:p w:rsidR="003825EF" w:rsidRPr="00E55143" w:rsidRDefault="003825EF" w:rsidP="003825EF">
      <w:pPr>
        <w:spacing w:line="360" w:lineRule="auto"/>
        <w:jc w:val="both"/>
      </w:pPr>
      <w:r>
        <w:rPr>
          <w:b/>
          <w:i/>
        </w:rPr>
        <w:t>166</w:t>
      </w:r>
      <w:r w:rsidRPr="00E55143">
        <w:rPr>
          <w:i/>
        </w:rPr>
        <w:t xml:space="preserve"> – </w:t>
      </w:r>
      <w:r w:rsidRPr="00E55143">
        <w:t xml:space="preserve">Potraživanja za prihode od prodaje proizvoda i robe te pruženih usluga iznose </w:t>
      </w:r>
      <w:r>
        <w:t>482,02 eura</w:t>
      </w:r>
      <w:r w:rsidRPr="00E55143">
        <w:t xml:space="preserve"> te se to odnosi na prihod od </w:t>
      </w:r>
      <w:r>
        <w:t xml:space="preserve">najma dvorane, učionice i </w:t>
      </w:r>
      <w:proofErr w:type="spellStart"/>
      <w:r>
        <w:t>kafe</w:t>
      </w:r>
      <w:proofErr w:type="spellEnd"/>
      <w:r>
        <w:t xml:space="preserve"> aparata uvećan je za 24,8 %.</w:t>
      </w:r>
    </w:p>
    <w:p w:rsidR="003825EF" w:rsidRPr="00E55143" w:rsidRDefault="003825EF" w:rsidP="003825EF">
      <w:pPr>
        <w:spacing w:line="360" w:lineRule="auto"/>
        <w:jc w:val="both"/>
      </w:pPr>
    </w:p>
    <w:p w:rsidR="003825EF" w:rsidRPr="00CC5C21" w:rsidRDefault="003825EF" w:rsidP="003825EF">
      <w:pPr>
        <w:spacing w:line="360" w:lineRule="auto"/>
        <w:jc w:val="both"/>
        <w:rPr>
          <w:b/>
        </w:rPr>
      </w:pPr>
      <w:r>
        <w:rPr>
          <w:b/>
          <w:i/>
        </w:rPr>
        <w:t>167</w:t>
      </w:r>
      <w:r w:rsidRPr="00E55143">
        <w:rPr>
          <w:i/>
        </w:rPr>
        <w:t xml:space="preserve"> – </w:t>
      </w:r>
      <w:r w:rsidRPr="00E55143">
        <w:t xml:space="preserve">Potraživanja za prihode iz proračuna iznose </w:t>
      </w:r>
      <w:r w:rsidRPr="00CC5C21">
        <w:rPr>
          <w:b/>
        </w:rPr>
        <w:t>37.099,22 eura</w:t>
      </w:r>
      <w:r w:rsidRPr="00E55143">
        <w:t>. Odnosi se na višak namjenskih prihoda koji će biti raspoloživ u tekućem razdoblju</w:t>
      </w:r>
      <w:r>
        <w:t>, a o</w:t>
      </w:r>
      <w:r w:rsidRPr="00E55143">
        <w:t xml:space="preserve">statak se odnosi na </w:t>
      </w:r>
      <w:r w:rsidRPr="00CC5C21">
        <w:rPr>
          <w:b/>
        </w:rPr>
        <w:t>račune koji su teretili rashode u 2023. godini, ali nisu plaćeni do 31.12.2023. godine.</w:t>
      </w:r>
    </w:p>
    <w:p w:rsidR="003825EF" w:rsidRPr="00E55143" w:rsidRDefault="003825EF" w:rsidP="003825EF">
      <w:pPr>
        <w:spacing w:line="360" w:lineRule="auto"/>
        <w:jc w:val="both"/>
      </w:pPr>
    </w:p>
    <w:p w:rsidR="003825EF" w:rsidRPr="00E55143" w:rsidRDefault="003825EF" w:rsidP="003825EF">
      <w:pPr>
        <w:spacing w:line="360" w:lineRule="auto"/>
        <w:jc w:val="both"/>
      </w:pPr>
      <w:r>
        <w:rPr>
          <w:b/>
          <w:i/>
        </w:rPr>
        <w:t>193</w:t>
      </w:r>
      <w:r w:rsidRPr="00E55143">
        <w:rPr>
          <w:i/>
        </w:rPr>
        <w:t xml:space="preserve"> – </w:t>
      </w:r>
      <w:r w:rsidRPr="00E55143">
        <w:t xml:space="preserve">Kontinuirani rashodi budućih razdoblja u iznosu od </w:t>
      </w:r>
      <w:r>
        <w:t>93.321,23 eura</w:t>
      </w:r>
      <w:r w:rsidRPr="00E55143">
        <w:t xml:space="preserve"> odnose se na iskazane rashode za plaće i naknade za prosinac 202</w:t>
      </w:r>
      <w:r>
        <w:t>3</w:t>
      </w:r>
      <w:r w:rsidRPr="00E55143">
        <w:t>. godine.</w:t>
      </w:r>
      <w:r>
        <w:t xml:space="preserve"> Povećanje je 17,8% u odnosu na prethodnu godinu zbog povećanja plaća.</w:t>
      </w:r>
    </w:p>
    <w:p w:rsidR="003825EF" w:rsidRPr="00E55143" w:rsidRDefault="003825EF" w:rsidP="003825EF">
      <w:pPr>
        <w:spacing w:line="360" w:lineRule="auto"/>
        <w:jc w:val="both"/>
      </w:pPr>
    </w:p>
    <w:p w:rsidR="003825EF" w:rsidRPr="00E55143" w:rsidRDefault="003825EF" w:rsidP="003825EF">
      <w:pPr>
        <w:spacing w:line="360" w:lineRule="auto"/>
        <w:jc w:val="both"/>
      </w:pPr>
      <w:r>
        <w:rPr>
          <w:b/>
          <w:i/>
        </w:rPr>
        <w:t>23</w:t>
      </w:r>
      <w:r w:rsidRPr="00E55143">
        <w:rPr>
          <w:i/>
        </w:rPr>
        <w:t xml:space="preserve"> – </w:t>
      </w:r>
      <w:r w:rsidRPr="00E55143">
        <w:t xml:space="preserve">Obveze za rashode poslovanja su povećane za </w:t>
      </w:r>
      <w:r>
        <w:t>30,3</w:t>
      </w:r>
      <w:r w:rsidRPr="00E55143">
        <w:t xml:space="preserve">% zbog podmirivanja obaveza za račune </w:t>
      </w:r>
      <w:r>
        <w:t xml:space="preserve">iz </w:t>
      </w:r>
      <w:r w:rsidRPr="00E55143">
        <w:t>prethodn</w:t>
      </w:r>
      <w:r>
        <w:t>e</w:t>
      </w:r>
      <w:r w:rsidRPr="00E55143">
        <w:t xml:space="preserve"> godin</w:t>
      </w:r>
      <w:r>
        <w:t>e u sljedećoj godini, a iznose 141.734,08 eura</w:t>
      </w:r>
    </w:p>
    <w:p w:rsidR="003825EF" w:rsidRPr="00E55143" w:rsidRDefault="003825EF" w:rsidP="003825EF">
      <w:pPr>
        <w:spacing w:line="360" w:lineRule="auto"/>
        <w:jc w:val="both"/>
      </w:pPr>
    </w:p>
    <w:p w:rsidR="003825EF" w:rsidRPr="00E55143" w:rsidRDefault="003825EF" w:rsidP="003825EF">
      <w:pPr>
        <w:spacing w:line="360" w:lineRule="auto"/>
        <w:jc w:val="both"/>
      </w:pPr>
      <w:r>
        <w:rPr>
          <w:b/>
          <w:i/>
        </w:rPr>
        <w:t>239</w:t>
      </w:r>
      <w:r w:rsidRPr="00E55143">
        <w:rPr>
          <w:i/>
        </w:rPr>
        <w:t xml:space="preserve"> –</w:t>
      </w:r>
      <w:r w:rsidRPr="00E55143">
        <w:t xml:space="preserve"> Evidentirane su obveze za povrat u proračun u iznosu od </w:t>
      </w:r>
      <w:r>
        <w:t>9.019,46 eura i nema velikih odstupanja u odnosu na prethodnu godinu.</w:t>
      </w:r>
    </w:p>
    <w:p w:rsidR="003825EF" w:rsidRPr="00E55143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  <w:r>
        <w:rPr>
          <w:b/>
          <w:i/>
        </w:rPr>
        <w:t>92221</w:t>
      </w:r>
      <w:r w:rsidRPr="00E55143">
        <w:rPr>
          <w:i/>
        </w:rPr>
        <w:t xml:space="preserve"> – </w:t>
      </w:r>
      <w:r>
        <w:t>manjak prihoda poslovanja</w:t>
      </w:r>
      <w:r w:rsidRPr="00E55143">
        <w:t xml:space="preserve"> </w:t>
      </w:r>
      <w:r>
        <w:t xml:space="preserve">sastoji se od manjka knjiženog za 2022.godinu nastalog zbog utrošenih sredstava za </w:t>
      </w:r>
      <w:proofErr w:type="spellStart"/>
      <w:r>
        <w:t>Erasmus</w:t>
      </w:r>
      <w:proofErr w:type="spellEnd"/>
      <w:r>
        <w:t xml:space="preserve"> projekt te povećanje cijene energenata  također je tu i manjak u 2023. godini koji se odnosi na rashode za nabavu nefinancijske imovine te zbog neplaćenih računa knjiženih na teret 2023., a za koje nije stigao prihod već će on biti evidentiran uplatama Grada u 2024. godini.</w:t>
      </w:r>
    </w:p>
    <w:p w:rsidR="003825EF" w:rsidRDefault="003825EF" w:rsidP="003825EF">
      <w:pPr>
        <w:spacing w:line="360" w:lineRule="auto"/>
        <w:jc w:val="both"/>
      </w:pPr>
    </w:p>
    <w:p w:rsidR="003825EF" w:rsidRPr="00E55143" w:rsidRDefault="003825EF" w:rsidP="003825EF">
      <w:pPr>
        <w:spacing w:line="360" w:lineRule="auto"/>
        <w:jc w:val="both"/>
      </w:pPr>
    </w:p>
    <w:p w:rsidR="003825EF" w:rsidRDefault="003825EF" w:rsidP="003825EF">
      <w:pPr>
        <w:jc w:val="center"/>
        <w:rPr>
          <w:b/>
          <w:sz w:val="32"/>
          <w:szCs w:val="32"/>
        </w:rPr>
      </w:pPr>
      <w:r w:rsidRPr="00EB4A05">
        <w:rPr>
          <w:b/>
          <w:sz w:val="32"/>
          <w:szCs w:val="32"/>
        </w:rPr>
        <w:t xml:space="preserve">Bilješke uz obrazac RAS </w:t>
      </w:r>
      <w:r>
        <w:rPr>
          <w:b/>
          <w:sz w:val="32"/>
          <w:szCs w:val="32"/>
        </w:rPr>
        <w:t>–</w:t>
      </w:r>
      <w:r w:rsidRPr="00EB4A05">
        <w:rPr>
          <w:b/>
          <w:sz w:val="32"/>
          <w:szCs w:val="32"/>
        </w:rPr>
        <w:t xml:space="preserve"> funkcijski</w:t>
      </w:r>
    </w:p>
    <w:p w:rsidR="003825EF" w:rsidRPr="00EB4A05" w:rsidRDefault="003825EF" w:rsidP="003825EF">
      <w:pPr>
        <w:jc w:val="center"/>
        <w:rPr>
          <w:b/>
          <w:sz w:val="32"/>
          <w:szCs w:val="32"/>
        </w:rPr>
      </w:pPr>
    </w:p>
    <w:p w:rsidR="003825EF" w:rsidRPr="00E55143" w:rsidRDefault="003825EF" w:rsidP="003825EF">
      <w:pPr>
        <w:spacing w:line="360" w:lineRule="auto"/>
        <w:jc w:val="both"/>
      </w:pPr>
      <w:r w:rsidRPr="00EB4A05">
        <w:t xml:space="preserve">Funkcijska klasifikacija sadrži rashode razvrstane prema njihovoj namjeni. OŠ Turnić obavlja djelatnost osnovnog obrazovanja 0912, te rashodi vezani uz navedenu namjenu iznose </w:t>
      </w:r>
      <w:r>
        <w:t>1</w:t>
      </w:r>
      <w:r w:rsidRPr="00EB4A05">
        <w:t>.</w:t>
      </w:r>
      <w:r>
        <w:t>21</w:t>
      </w:r>
      <w:r w:rsidR="003A3883">
        <w:t>9</w:t>
      </w:r>
      <w:r w:rsidRPr="00EB4A05">
        <w:t>.</w:t>
      </w:r>
      <w:r w:rsidR="003A3883">
        <w:t>087</w:t>
      </w:r>
      <w:r w:rsidRPr="00EB4A05">
        <w:t>,</w:t>
      </w:r>
      <w:r w:rsidR="003A3883">
        <w:t>02</w:t>
      </w:r>
      <w:r>
        <w:t xml:space="preserve"> eura</w:t>
      </w:r>
      <w:r w:rsidRPr="00EB4A05">
        <w:t xml:space="preserve">. Prehrana učenika iskazuju se posebno kao dodatne usluge u obrazovanju, te one iznose </w:t>
      </w:r>
      <w:r>
        <w:t>134</w:t>
      </w:r>
      <w:r w:rsidRPr="00EB4A05">
        <w:t>.</w:t>
      </w:r>
      <w:r>
        <w:t>1</w:t>
      </w:r>
      <w:r w:rsidRPr="00EB4A05">
        <w:t>52,</w:t>
      </w:r>
      <w:r>
        <w:t>63</w:t>
      </w:r>
      <w:r w:rsidRPr="00EB4A05">
        <w:t xml:space="preserve"> </w:t>
      </w:r>
      <w:r>
        <w:t>eura</w:t>
      </w:r>
      <w:r w:rsidRPr="00EB4A05">
        <w:t xml:space="preserve">. U odnosu na prošlu godinu je veći jer su </w:t>
      </w:r>
      <w:r>
        <w:t>porasle plaće zaposlenika te je uvedena besplatna marenda za učenike u iznosu 1,33 euro po učeniku.</w:t>
      </w:r>
    </w:p>
    <w:p w:rsidR="003825EF" w:rsidRPr="00E55143" w:rsidRDefault="003825EF" w:rsidP="00382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</w:t>
      </w:r>
      <w:r w:rsidRPr="00E55143">
        <w:rPr>
          <w:b/>
          <w:sz w:val="32"/>
          <w:szCs w:val="32"/>
        </w:rPr>
        <w:t>ilješke uz obrazac P-VRIO</w:t>
      </w:r>
    </w:p>
    <w:p w:rsidR="003825EF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</w:p>
    <w:p w:rsidR="003825EF" w:rsidRDefault="003825EF" w:rsidP="003825EF">
      <w:pPr>
        <w:spacing w:line="360" w:lineRule="auto"/>
        <w:jc w:val="both"/>
      </w:pPr>
      <w:r w:rsidRPr="00E55143">
        <w:t>U obrascu je prikazano povećanj</w:t>
      </w:r>
      <w:r>
        <w:t>e vrijednosti imovine jer je škola prema uputama Ministarstva imala promjena u vrijednosti i obujmu imovine koja se odnosi na imovinu nabavljenu 2019. i 2020.godine.</w:t>
      </w:r>
    </w:p>
    <w:p w:rsidR="003825EF" w:rsidRPr="00E55143" w:rsidRDefault="003825EF" w:rsidP="003825EF">
      <w:pPr>
        <w:spacing w:line="360" w:lineRule="auto"/>
        <w:jc w:val="both"/>
      </w:pPr>
    </w:p>
    <w:p w:rsidR="003825EF" w:rsidRPr="00E55143" w:rsidRDefault="003825EF" w:rsidP="003825EF">
      <w:pPr>
        <w:jc w:val="center"/>
        <w:rPr>
          <w:b/>
          <w:sz w:val="32"/>
          <w:szCs w:val="32"/>
        </w:rPr>
      </w:pPr>
      <w:r w:rsidRPr="00E55143">
        <w:rPr>
          <w:b/>
          <w:sz w:val="32"/>
          <w:szCs w:val="32"/>
        </w:rPr>
        <w:t>Bilješke uz obrazac OBVEZE</w:t>
      </w:r>
    </w:p>
    <w:p w:rsidR="00FA74EF" w:rsidRDefault="00FA74EF" w:rsidP="00FA74EF">
      <w:pPr>
        <w:rPr>
          <w:b/>
          <w:sz w:val="32"/>
          <w:szCs w:val="32"/>
        </w:rPr>
      </w:pPr>
    </w:p>
    <w:p w:rsidR="00FA74EF" w:rsidRPr="00FA74EF" w:rsidRDefault="00FA74EF" w:rsidP="00FA74EF">
      <w:r w:rsidRPr="00FA74EF">
        <w:t>V001</w:t>
      </w:r>
      <w:r>
        <w:t xml:space="preserve"> – stanje obveza na 31.12. prethodne godine odnosno na 01.01.2023. je 108.738,16 eura</w:t>
      </w:r>
    </w:p>
    <w:p w:rsidR="003825EF" w:rsidRDefault="003825EF" w:rsidP="003825EF">
      <w:pPr>
        <w:spacing w:line="360" w:lineRule="auto"/>
        <w:jc w:val="both"/>
      </w:pPr>
      <w:r>
        <w:t>V002 – povećanje obveza u izvještajnom razdoblju iznosi 1.</w:t>
      </w:r>
      <w:r w:rsidR="00FA74EF">
        <w:t>388</w:t>
      </w:r>
      <w:r>
        <w:t>.</w:t>
      </w:r>
      <w:r w:rsidR="00FA74EF">
        <w:t>115,17</w:t>
      </w:r>
      <w:r>
        <w:t xml:space="preserve"> eura od čega najveći dio otpada na obveze za zaposlene u iznosu od 1.</w:t>
      </w:r>
      <w:r w:rsidR="00FA74EF">
        <w:t xml:space="preserve">067.120,72 </w:t>
      </w:r>
      <w:r>
        <w:t>eura, obveze za materijalne rashode u iznosu 2</w:t>
      </w:r>
      <w:r w:rsidR="00FA74EF">
        <w:t>50</w:t>
      </w:r>
      <w:r>
        <w:t>.</w:t>
      </w:r>
      <w:r w:rsidR="00FA74EF">
        <w:t>450</w:t>
      </w:r>
      <w:r>
        <w:t>,</w:t>
      </w:r>
      <w:r w:rsidR="00FA74EF">
        <w:t>39</w:t>
      </w:r>
      <w:r>
        <w:t xml:space="preserve"> eura, obveze za financijske rashode (platni promet, sudske pristojbe)  u iznosu od 8.</w:t>
      </w:r>
      <w:r w:rsidR="00FA74EF">
        <w:t>221,52</w:t>
      </w:r>
      <w:r>
        <w:t xml:space="preserve"> eura, obveze za naknade građanima i kućanstvima u iznosu od 22.035,60 eura, ostale tekuće obveze </w:t>
      </w:r>
      <w:r w:rsidR="00FA74EF">
        <w:t>1</w:t>
      </w:r>
      <w:r>
        <w:t>8.</w:t>
      </w:r>
      <w:r w:rsidR="00FA74EF">
        <w:t>263</w:t>
      </w:r>
      <w:r>
        <w:t>,8</w:t>
      </w:r>
      <w:r w:rsidR="00FA74EF">
        <w:t>7</w:t>
      </w:r>
      <w:bookmarkStart w:id="0" w:name="_GoBack"/>
      <w:bookmarkEnd w:id="0"/>
      <w:r>
        <w:t xml:space="preserve"> eura, te obveze za nabavu nefinancijske imovine u iznosu 22.023,07 eura.</w:t>
      </w:r>
    </w:p>
    <w:p w:rsidR="003825EF" w:rsidRPr="00E55143" w:rsidRDefault="003825EF" w:rsidP="003825EF">
      <w:pPr>
        <w:spacing w:line="360" w:lineRule="auto"/>
        <w:jc w:val="both"/>
      </w:pPr>
      <w:r>
        <w:t>V004 – podmirene obveze u izvještajnom razdoblju iznosi 1.335.189,87 eura od čega najveći dio otpada na obveze za zaposlene u iznosu od 1.052.807,59 eura,  obveze za materijalne rashode u iznosu 237.415,79 eura, financijske rashode u iznosu od 8.220,13 eura obveze za naknade građanima i kućanstvima u iznosu od 15.629,21 euro, tekuće obveze poput refundacije bolovanja te refundacije školske sheme 19.023,40 eura te obveze za nabavu nefinancijske imovine u iznosu 2.093,75 eura.</w:t>
      </w:r>
    </w:p>
    <w:p w:rsidR="003825EF" w:rsidRPr="00E55143" w:rsidRDefault="003825EF" w:rsidP="003825EF">
      <w:pPr>
        <w:spacing w:line="360" w:lineRule="auto"/>
        <w:jc w:val="both"/>
      </w:pPr>
      <w:r w:rsidRPr="00E55143">
        <w:t>Iskazane obveze na dan 31.12.202</w:t>
      </w:r>
      <w:r>
        <w:t>3</w:t>
      </w:r>
      <w:r w:rsidRPr="00E55143">
        <w:t xml:space="preserve">. godine iznose </w:t>
      </w:r>
      <w:r>
        <w:t>161.663,40 eura.</w:t>
      </w:r>
      <w:r w:rsidRPr="00E55143">
        <w:t xml:space="preserve"> </w:t>
      </w:r>
    </w:p>
    <w:p w:rsidR="003825EF" w:rsidRDefault="003825EF" w:rsidP="003825EF">
      <w:pPr>
        <w:spacing w:line="360" w:lineRule="auto"/>
        <w:jc w:val="both"/>
      </w:pPr>
      <w:r w:rsidRPr="00E55143">
        <w:t xml:space="preserve">Ukupne dospjele obveze iznose </w:t>
      </w:r>
      <w:r>
        <w:t xml:space="preserve">26.373,24 eura </w:t>
      </w:r>
      <w:r w:rsidRPr="00E55143">
        <w:t>te se odnose isključivo na</w:t>
      </w:r>
      <w:r>
        <w:t xml:space="preserve"> obveze za materijalne rashode. </w:t>
      </w:r>
      <w:r w:rsidRPr="00E55143">
        <w:t xml:space="preserve">Ukupne nedospjele obveze iznose </w:t>
      </w:r>
      <w:r>
        <w:t>135.290,16 eura</w:t>
      </w:r>
      <w:r w:rsidRPr="00E55143">
        <w:t xml:space="preserve"> od čega se iznos od </w:t>
      </w:r>
      <w:r>
        <w:t xml:space="preserve">93.321,23 eura </w:t>
      </w:r>
      <w:r w:rsidRPr="00E55143">
        <w:t>odnosi na obveze za rashode za plaće za prosinac 202</w:t>
      </w:r>
      <w:r>
        <w:t>3</w:t>
      </w:r>
      <w:r w:rsidRPr="00E55143">
        <w:t xml:space="preserve">. godine te na ostale nedospjele obveze po ulaznim računima </w:t>
      </w:r>
      <w:r>
        <w:t>a ostatak</w:t>
      </w:r>
      <w:r w:rsidRPr="00E55143">
        <w:t xml:space="preserve"> se odnosi na međusobne obveze proračunskih korisnika - naknade za bolovanje iznad 42 dana. </w:t>
      </w:r>
    </w:p>
    <w:p w:rsidR="003825EF" w:rsidRPr="00E55143" w:rsidRDefault="003825EF" w:rsidP="003825EF">
      <w:pPr>
        <w:spacing w:line="360" w:lineRule="auto"/>
        <w:jc w:val="both"/>
      </w:pPr>
    </w:p>
    <w:p w:rsidR="003825EF" w:rsidRDefault="003825EF" w:rsidP="003825EF"/>
    <w:p w:rsidR="003825EF" w:rsidRDefault="003825EF" w:rsidP="003825EF"/>
    <w:p w:rsidR="003825EF" w:rsidRDefault="003825EF" w:rsidP="003825EF"/>
    <w:p w:rsidR="003825EF" w:rsidRDefault="003825EF" w:rsidP="003825EF"/>
    <w:p w:rsidR="003825EF" w:rsidRDefault="003825EF" w:rsidP="003825EF"/>
    <w:p w:rsidR="003825EF" w:rsidRPr="007B4CE3" w:rsidRDefault="003825EF" w:rsidP="003825EF">
      <w:pPr>
        <w:spacing w:line="360" w:lineRule="auto"/>
      </w:pPr>
      <w:r w:rsidRPr="007B4CE3">
        <w:t>Voditelj</w:t>
      </w:r>
      <w:r>
        <w:t>ica</w:t>
      </w:r>
      <w:r w:rsidRPr="007B4CE3">
        <w:t xml:space="preserve"> računovodstva:</w:t>
      </w:r>
      <w:r w:rsidRPr="007B4CE3">
        <w:tab/>
      </w:r>
      <w:r w:rsidRPr="007B4CE3">
        <w:tab/>
      </w:r>
      <w:r w:rsidRPr="007B4CE3">
        <w:tab/>
      </w:r>
      <w:r w:rsidRPr="007B4CE3">
        <w:tab/>
      </w:r>
      <w:r w:rsidRPr="007B4CE3">
        <w:tab/>
      </w:r>
      <w:r>
        <w:tab/>
      </w:r>
      <w:r>
        <w:tab/>
      </w:r>
      <w:r>
        <w:tab/>
        <w:t>Ravnateljica</w:t>
      </w:r>
      <w:r w:rsidRPr="007B4CE3">
        <w:t>:</w:t>
      </w:r>
    </w:p>
    <w:p w:rsidR="00E72A17" w:rsidRDefault="003A3883" w:rsidP="003825EF">
      <w:pPr>
        <w:spacing w:line="360" w:lineRule="auto"/>
      </w:pPr>
      <w:r>
        <w:t xml:space="preserve"> </w:t>
      </w:r>
      <w:r w:rsidR="003825EF">
        <w:t>Dijana Radoslav</w:t>
      </w:r>
      <w:r w:rsidR="003825EF">
        <w:tab/>
      </w:r>
      <w:r w:rsidR="003825EF">
        <w:tab/>
      </w:r>
      <w:r w:rsidR="003825EF">
        <w:tab/>
      </w:r>
      <w:r w:rsidR="003825EF">
        <w:tab/>
      </w:r>
      <w:r w:rsidR="003825EF">
        <w:tab/>
      </w:r>
      <w:r w:rsidR="003825EF">
        <w:tab/>
      </w:r>
      <w:r w:rsidR="003825EF">
        <w:tab/>
      </w:r>
      <w:r w:rsidR="003825EF">
        <w:tab/>
        <w:t xml:space="preserve">        </w:t>
      </w:r>
      <w:r>
        <w:t xml:space="preserve">   </w:t>
      </w:r>
      <w:r w:rsidR="003825EF">
        <w:t>Jasna Sandalj</w:t>
      </w:r>
    </w:p>
    <w:sectPr w:rsidR="00E7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EF"/>
    <w:rsid w:val="003825EF"/>
    <w:rsid w:val="003A3883"/>
    <w:rsid w:val="00E72A17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A043"/>
  <w15:chartTrackingRefBased/>
  <w15:docId w15:val="{7269B82B-D7C4-423B-BF84-DDC16598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3825EF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3825EF"/>
  </w:style>
  <w:style w:type="paragraph" w:styleId="Bezproreda">
    <w:name w:val="No Spacing"/>
    <w:link w:val="BezproredaChar"/>
    <w:uiPriority w:val="1"/>
    <w:qFormat/>
    <w:rsid w:val="003825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rsid w:val="003825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Radoslav</dc:creator>
  <cp:keywords/>
  <dc:description/>
  <cp:lastModifiedBy>Dijana Radoslav</cp:lastModifiedBy>
  <cp:revision>4</cp:revision>
  <dcterms:created xsi:type="dcterms:W3CDTF">2024-01-30T15:50:00Z</dcterms:created>
  <dcterms:modified xsi:type="dcterms:W3CDTF">2024-02-13T07:51:00Z</dcterms:modified>
</cp:coreProperties>
</file>